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15" w:type="dxa"/>
        <w:jc w:val="center"/>
        <w:tblLook w:val="01E0" w:firstRow="1" w:lastRow="1" w:firstColumn="1" w:lastColumn="1" w:noHBand="0" w:noVBand="0"/>
      </w:tblPr>
      <w:tblGrid>
        <w:gridCol w:w="5245"/>
        <w:gridCol w:w="7170"/>
      </w:tblGrid>
      <w:tr w:rsidR="00C21ADF" w:rsidRPr="00715852" w14:paraId="2CC6FA43" w14:textId="77777777" w:rsidTr="00AA7B12">
        <w:trPr>
          <w:trHeight w:val="783"/>
          <w:jc w:val="center"/>
        </w:trPr>
        <w:tc>
          <w:tcPr>
            <w:tcW w:w="5245" w:type="dxa"/>
          </w:tcPr>
          <w:p w14:paraId="62927138" w14:textId="77777777" w:rsidR="00C21ADF" w:rsidRPr="00715852" w:rsidRDefault="00C21ADF" w:rsidP="000A6832">
            <w:pPr>
              <w:spacing w:after="0" w:line="240" w:lineRule="auto"/>
              <w:jc w:val="center"/>
              <w:rPr>
                <w:rFonts w:ascii="Times New Roman" w:hAnsi="Times New Roman" w:cs="Times New Roman"/>
                <w:bCs/>
                <w:noProof/>
                <w:sz w:val="28"/>
                <w:szCs w:val="28"/>
                <w:lang w:val="vi-VN"/>
              </w:rPr>
            </w:pPr>
            <w:r w:rsidRPr="00715852">
              <w:rPr>
                <w:rFonts w:ascii="Times New Roman" w:hAnsi="Times New Roman" w:cs="Times New Roman"/>
                <w:noProof/>
                <w:sz w:val="28"/>
                <w:szCs w:val="28"/>
                <w:lang w:val="vi-VN"/>
              </w:rPr>
              <w:br w:type="page"/>
            </w:r>
            <w:r w:rsidRPr="00715852">
              <w:rPr>
                <w:rFonts w:ascii="Times New Roman" w:hAnsi="Times New Roman" w:cs="Times New Roman"/>
                <w:noProof/>
                <w:sz w:val="28"/>
                <w:szCs w:val="28"/>
                <w:lang w:val="vi-VN"/>
              </w:rPr>
              <w:br w:type="page"/>
            </w:r>
            <w:r w:rsidRPr="00715852">
              <w:rPr>
                <w:rFonts w:ascii="Times New Roman" w:hAnsi="Times New Roman" w:cs="Times New Roman"/>
                <w:noProof/>
                <w:sz w:val="28"/>
                <w:szCs w:val="28"/>
                <w:lang w:val="vi-VN"/>
              </w:rPr>
              <w:br w:type="page"/>
            </w:r>
            <w:r w:rsidRPr="00715852">
              <w:rPr>
                <w:rFonts w:ascii="Times New Roman" w:hAnsi="Times New Roman" w:cs="Times New Roman"/>
                <w:bCs/>
                <w:noProof/>
                <w:sz w:val="28"/>
                <w:szCs w:val="28"/>
                <w:lang w:val="vi-VN"/>
              </w:rPr>
              <w:t>UBND THÀNH PHỐ ĐÀ NẴNG</w:t>
            </w:r>
          </w:p>
          <w:p w14:paraId="270E6EAA" w14:textId="1DEAA99D" w:rsidR="00C21ADF" w:rsidRPr="00715852" w:rsidRDefault="00C21ADF" w:rsidP="000A6832">
            <w:pPr>
              <w:spacing w:after="0" w:line="240" w:lineRule="auto"/>
              <w:jc w:val="center"/>
              <w:rPr>
                <w:rFonts w:ascii="Times New Roman" w:hAnsi="Times New Roman" w:cs="Times New Roman"/>
                <w:bCs/>
                <w:noProof/>
                <w:sz w:val="28"/>
                <w:szCs w:val="28"/>
                <w:lang w:val="vi-VN"/>
              </w:rPr>
            </w:pPr>
            <w:r w:rsidRPr="00715852">
              <w:rPr>
                <w:rFonts w:ascii="Times New Roman" w:hAnsi="Times New Roman" w:cs="Times New Roman"/>
                <w:b/>
                <w:bCs/>
                <w:noProof/>
                <w:sz w:val="28"/>
                <w:szCs w:val="28"/>
                <w:lang w:val="vi-VN"/>
              </w:rPr>
              <w:t xml:space="preserve">SỞ </w:t>
            </w:r>
            <w:r w:rsidR="00AA7B12" w:rsidRPr="00715852">
              <w:rPr>
                <w:rFonts w:ascii="Times New Roman" w:hAnsi="Times New Roman" w:cs="Times New Roman"/>
                <w:b/>
                <w:bCs/>
                <w:noProof/>
                <w:sz w:val="28"/>
                <w:szCs w:val="28"/>
                <w:lang w:val="vi-VN"/>
              </w:rPr>
              <w:t>NÔNG NGHIỆP</w:t>
            </w:r>
            <w:r w:rsidRPr="00715852">
              <w:rPr>
                <w:rFonts w:ascii="Times New Roman" w:hAnsi="Times New Roman" w:cs="Times New Roman"/>
                <w:b/>
                <w:bCs/>
                <w:noProof/>
                <w:sz w:val="28"/>
                <w:szCs w:val="28"/>
                <w:lang w:val="vi-VN"/>
              </w:rPr>
              <w:t xml:space="preserve"> VÀ MÔI TRƯỜNG</w:t>
            </w:r>
          </w:p>
          <w:p w14:paraId="6FB82E8C" w14:textId="380E43EB" w:rsidR="00C21ADF" w:rsidRPr="00715852" w:rsidRDefault="00C21ADF" w:rsidP="000A6832">
            <w:pPr>
              <w:tabs>
                <w:tab w:val="center" w:pos="2386"/>
              </w:tabs>
              <w:spacing w:after="0" w:line="240" w:lineRule="auto"/>
              <w:jc w:val="center"/>
              <w:rPr>
                <w:rFonts w:ascii="Times New Roman" w:hAnsi="Times New Roman" w:cs="Times New Roman"/>
                <w:noProof/>
                <w:sz w:val="28"/>
                <w:szCs w:val="28"/>
                <w:vertAlign w:val="superscript"/>
                <w:lang w:val="vi-VN"/>
              </w:rPr>
            </w:pPr>
            <w:r w:rsidRPr="00715852">
              <w:rPr>
                <w:rFonts w:ascii="Times New Roman" w:hAnsi="Times New Roman" w:cs="Times New Roman"/>
                <w:noProof/>
                <w:sz w:val="28"/>
                <w:szCs w:val="28"/>
                <w:vertAlign w:val="superscript"/>
                <w:lang w:val="vi-VN"/>
              </w:rPr>
              <mc:AlternateContent>
                <mc:Choice Requires="wps">
                  <w:drawing>
                    <wp:anchor distT="0" distB="0" distL="114300" distR="114300" simplePos="0" relativeHeight="251659264" behindDoc="0" locked="0" layoutInCell="1" allowOverlap="1" wp14:anchorId="327272BF" wp14:editId="27DCAB48">
                      <wp:simplePos x="0" y="0"/>
                      <wp:positionH relativeFrom="column">
                        <wp:posOffset>922503</wp:posOffset>
                      </wp:positionH>
                      <wp:positionV relativeFrom="paragraph">
                        <wp:posOffset>40030</wp:posOffset>
                      </wp:positionV>
                      <wp:extent cx="1311275" cy="635"/>
                      <wp:effectExtent l="8890" t="6350" r="13335"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1B4EB4" id="_x0000_t32" coordsize="21600,21600" o:spt="32" o:oned="t" path="m,l21600,21600e" filled="f">
                      <v:path arrowok="t" fillok="f" o:connecttype="none"/>
                      <o:lock v:ext="edit" shapetype="t"/>
                    </v:shapetype>
                    <v:shape id="Straight Arrow Connector 4" o:spid="_x0000_s1026" type="#_x0000_t32" style="position:absolute;margin-left:72.65pt;margin-top:3.15pt;width:103.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"/>
                  </w:pict>
                </mc:Fallback>
              </mc:AlternateContent>
            </w:r>
          </w:p>
        </w:tc>
        <w:tc>
          <w:tcPr>
            <w:tcW w:w="7170" w:type="dxa"/>
          </w:tcPr>
          <w:p w14:paraId="07DE92F2" w14:textId="77777777" w:rsidR="00C21ADF" w:rsidRPr="00715852" w:rsidRDefault="00C21ADF" w:rsidP="000A6832">
            <w:pPr>
              <w:spacing w:after="0" w:line="240" w:lineRule="auto"/>
              <w:jc w:val="center"/>
              <w:rPr>
                <w:rFonts w:ascii="Times New Roman" w:hAnsi="Times New Roman" w:cs="Times New Roman"/>
                <w:noProof/>
                <w:sz w:val="26"/>
                <w:szCs w:val="26"/>
                <w:lang w:val="vi-VN"/>
              </w:rPr>
            </w:pPr>
            <w:r w:rsidRPr="00715852">
              <w:rPr>
                <w:rFonts w:ascii="Times New Roman" w:hAnsi="Times New Roman" w:cs="Times New Roman"/>
                <w:b/>
                <w:bCs/>
                <w:noProof/>
                <w:sz w:val="26"/>
                <w:szCs w:val="26"/>
                <w:lang w:val="vi-VN"/>
              </w:rPr>
              <w:t>CỘNG HÒA XÃ HỘI CHỦ NGHĨA VIỆT NAM</w:t>
            </w:r>
          </w:p>
          <w:p w14:paraId="00B7F88D" w14:textId="77777777" w:rsidR="00C21ADF" w:rsidRPr="00715852" w:rsidRDefault="00C21ADF" w:rsidP="000A6832">
            <w:pPr>
              <w:spacing w:after="0" w:line="240" w:lineRule="auto"/>
              <w:jc w:val="center"/>
              <w:rPr>
                <w:rFonts w:ascii="Times New Roman" w:hAnsi="Times New Roman" w:cs="Times New Roman"/>
                <w:b/>
                <w:bCs/>
                <w:noProof/>
                <w:sz w:val="28"/>
                <w:szCs w:val="28"/>
                <w:lang w:val="vi-VN"/>
              </w:rPr>
            </w:pPr>
            <w:r w:rsidRPr="00715852">
              <w:rPr>
                <w:rFonts w:ascii="Times New Roman" w:hAnsi="Times New Roman" w:cs="Times New Roman"/>
                <w:b/>
                <w:bCs/>
                <w:noProof/>
                <w:sz w:val="28"/>
                <w:szCs w:val="28"/>
                <w:lang w:val="vi-VN"/>
              </w:rPr>
              <mc:AlternateContent>
                <mc:Choice Requires="wps">
                  <w:drawing>
                    <wp:anchor distT="0" distB="0" distL="114300" distR="114300" simplePos="0" relativeHeight="251660288" behindDoc="0" locked="0" layoutInCell="1" allowOverlap="1" wp14:anchorId="462287C6" wp14:editId="27D10168">
                      <wp:simplePos x="0" y="0"/>
                      <wp:positionH relativeFrom="column">
                        <wp:posOffset>1156970</wp:posOffset>
                      </wp:positionH>
                      <wp:positionV relativeFrom="paragraph">
                        <wp:posOffset>215595</wp:posOffset>
                      </wp:positionV>
                      <wp:extent cx="2090398"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03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0FA702" id="Straight Arrow Connector 3" o:spid="_x0000_s1026" type="#_x0000_t32" style="position:absolute;margin-left:91.1pt;margin-top:17pt;width:164.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"/>
                  </w:pict>
                </mc:Fallback>
              </mc:AlternateContent>
            </w:r>
            <w:r w:rsidRPr="00715852">
              <w:rPr>
                <w:rFonts w:ascii="Times New Roman" w:hAnsi="Times New Roman" w:cs="Times New Roman"/>
                <w:b/>
                <w:bCs/>
                <w:noProof/>
                <w:sz w:val="28"/>
                <w:szCs w:val="28"/>
                <w:lang w:val="vi-VN"/>
              </w:rPr>
              <w:t>Độc lập - Tự do - Hạnh phúc</w:t>
            </w:r>
          </w:p>
        </w:tc>
      </w:tr>
      <w:tr w:rsidR="00C21ADF" w:rsidRPr="00EB690A" w14:paraId="3EC6E5E8" w14:textId="77777777" w:rsidTr="00AA7B12">
        <w:trPr>
          <w:jc w:val="center"/>
        </w:trPr>
        <w:tc>
          <w:tcPr>
            <w:tcW w:w="5245" w:type="dxa"/>
            <w:vAlign w:val="center"/>
          </w:tcPr>
          <w:p w14:paraId="687BA94A" w14:textId="77777777" w:rsidR="00C21ADF" w:rsidRPr="00715852" w:rsidRDefault="00C21ADF" w:rsidP="000A6832">
            <w:pPr>
              <w:spacing w:after="0" w:line="240" w:lineRule="auto"/>
              <w:jc w:val="center"/>
              <w:rPr>
                <w:rFonts w:ascii="Times New Roman" w:hAnsi="Times New Roman" w:cs="Times New Roman"/>
                <w:noProof/>
                <w:sz w:val="28"/>
                <w:szCs w:val="28"/>
                <w:lang w:val="vi-VN"/>
              </w:rPr>
            </w:pPr>
          </w:p>
        </w:tc>
        <w:tc>
          <w:tcPr>
            <w:tcW w:w="7170" w:type="dxa"/>
            <w:vAlign w:val="center"/>
          </w:tcPr>
          <w:p w14:paraId="7132A3E8" w14:textId="740C9557" w:rsidR="00C21ADF" w:rsidRPr="00715852" w:rsidRDefault="00C21ADF" w:rsidP="000A6832">
            <w:pPr>
              <w:spacing w:after="0" w:line="240" w:lineRule="auto"/>
              <w:jc w:val="center"/>
              <w:rPr>
                <w:rFonts w:ascii="Times New Roman" w:hAnsi="Times New Roman" w:cs="Times New Roman"/>
                <w:i/>
                <w:iCs/>
                <w:noProof/>
                <w:sz w:val="28"/>
                <w:szCs w:val="28"/>
                <w:lang w:val="vi-VN"/>
              </w:rPr>
            </w:pPr>
            <w:r w:rsidRPr="00715852">
              <w:rPr>
                <w:rFonts w:ascii="Times New Roman" w:hAnsi="Times New Roman" w:cs="Times New Roman"/>
                <w:i/>
                <w:iCs/>
                <w:noProof/>
                <w:sz w:val="28"/>
                <w:szCs w:val="28"/>
                <w:lang w:val="vi-VN"/>
              </w:rPr>
              <w:t xml:space="preserve">Đà Nẵng, ngày      </w:t>
            </w:r>
            <w:r w:rsidR="003A287F" w:rsidRPr="00715852">
              <w:rPr>
                <w:rFonts w:ascii="Times New Roman" w:hAnsi="Times New Roman" w:cs="Times New Roman"/>
                <w:i/>
                <w:iCs/>
                <w:noProof/>
                <w:sz w:val="28"/>
                <w:szCs w:val="28"/>
                <w:lang w:val="vi-VN"/>
              </w:rPr>
              <w:t xml:space="preserve"> </w:t>
            </w:r>
            <w:r w:rsidRPr="00715852">
              <w:rPr>
                <w:rFonts w:ascii="Times New Roman" w:hAnsi="Times New Roman" w:cs="Times New Roman"/>
                <w:i/>
                <w:iCs/>
                <w:noProof/>
                <w:sz w:val="28"/>
                <w:szCs w:val="28"/>
                <w:lang w:val="vi-VN"/>
              </w:rPr>
              <w:t xml:space="preserve">  tháng       năm 2025</w:t>
            </w:r>
          </w:p>
        </w:tc>
      </w:tr>
    </w:tbl>
    <w:p w14:paraId="70E6EFF2" w14:textId="77777777" w:rsidR="000A6832" w:rsidRPr="00715852" w:rsidRDefault="000A6832" w:rsidP="004F353A">
      <w:pPr>
        <w:pStyle w:val="Title"/>
        <w:rPr>
          <w:rFonts w:ascii="Times New Roman" w:hAnsi="Times New Roman" w:cs="Times New Roman"/>
          <w:noProof/>
          <w:sz w:val="28"/>
          <w:szCs w:val="28"/>
          <w:lang w:val="vi-VN"/>
        </w:rPr>
      </w:pPr>
    </w:p>
    <w:p w14:paraId="3AE482B1" w14:textId="0B1FC969" w:rsidR="00340C1F" w:rsidRPr="00715852" w:rsidRDefault="0051752E" w:rsidP="00340C1F">
      <w:pPr>
        <w:pStyle w:val="Title"/>
        <w:rPr>
          <w:rFonts w:ascii="Times New Roman" w:hAnsi="Times New Roman" w:cs="Times New Roman"/>
          <w:noProof/>
          <w:sz w:val="28"/>
          <w:szCs w:val="28"/>
          <w:lang w:val="vi-VN"/>
        </w:rPr>
      </w:pPr>
      <w:r w:rsidRPr="00715852">
        <w:rPr>
          <w:rFonts w:ascii="Times New Roman" w:hAnsi="Times New Roman" w:cs="Times New Roman"/>
          <w:noProof/>
          <w:sz w:val="28"/>
          <w:szCs w:val="28"/>
          <w:lang w:val="vi-VN"/>
        </w:rPr>
        <w:t>BẢN TỔNG HỢP Ý KIẾN, TIẾP THU, GIẢI TRÌNH Ý KIẾN GÓP Ý ĐỐI VỚI DỰ THẢO</w:t>
      </w:r>
      <w:bookmarkStart w:id="0" w:name="_Hlk201654684"/>
    </w:p>
    <w:p w14:paraId="4BDFB4B3" w14:textId="77777777" w:rsidR="00340C1F" w:rsidRPr="00715852" w:rsidRDefault="00340C1F" w:rsidP="00340C1F">
      <w:pPr>
        <w:pStyle w:val="Title"/>
        <w:rPr>
          <w:rFonts w:ascii="Times New Roman" w:hAnsi="Times New Roman" w:cs="Times New Roman"/>
          <w:noProof/>
          <w:sz w:val="28"/>
          <w:szCs w:val="28"/>
          <w:lang w:val="vi-VN"/>
        </w:rPr>
      </w:pPr>
      <w:r w:rsidRPr="00715852">
        <w:rPr>
          <w:rFonts w:ascii="Times New Roman" w:hAnsi="Times New Roman" w:cs="Times New Roman"/>
          <w:noProof/>
          <w:sz w:val="28"/>
          <w:szCs w:val="28"/>
          <w:lang w:val="vi-VN"/>
        </w:rPr>
        <w:t>NGHỊ QUYẾT VỀ VIỆC SỬ DỤNG NGUỒN THU TỪ GIAO DỊCH TÍN CHỈ CÁC-BON CHO</w:t>
      </w:r>
    </w:p>
    <w:p w14:paraId="2EA47DF0" w14:textId="77777777" w:rsidR="00340C1F" w:rsidRPr="00715852" w:rsidRDefault="00340C1F" w:rsidP="00340C1F">
      <w:pPr>
        <w:pStyle w:val="Title"/>
        <w:rPr>
          <w:rFonts w:ascii="Times New Roman" w:hAnsi="Times New Roman" w:cs="Times New Roman"/>
          <w:noProof/>
          <w:sz w:val="28"/>
          <w:szCs w:val="28"/>
          <w:lang w:val="vi-VN"/>
        </w:rPr>
      </w:pPr>
      <w:r w:rsidRPr="00715852">
        <w:rPr>
          <w:rFonts w:ascii="Times New Roman" w:hAnsi="Times New Roman" w:cs="Times New Roman"/>
          <w:noProof/>
          <w:sz w:val="28"/>
          <w:szCs w:val="28"/>
          <w:lang w:val="vi-VN"/>
        </w:rPr>
        <w:t>CÁC CHƯƠNG TRÌNH, DỰ ÁN ỨNG PHÓ VỚI BIẾN ĐỔI KHÍ HẬU, PHÁT TRIỂN KINH TẾ XANH,</w:t>
      </w:r>
    </w:p>
    <w:p w14:paraId="0B9BCEB9" w14:textId="64A1CF8F" w:rsidR="004F353A" w:rsidRPr="00715852" w:rsidRDefault="00340C1F" w:rsidP="00340C1F">
      <w:pPr>
        <w:pStyle w:val="Title"/>
        <w:rPr>
          <w:rFonts w:ascii="Times New Roman" w:hAnsi="Times New Roman" w:cs="Times New Roman"/>
          <w:noProof/>
          <w:color w:val="000000" w:themeColor="text1"/>
          <w:sz w:val="28"/>
          <w:szCs w:val="28"/>
          <w:lang w:val="vi-VN"/>
        </w:rPr>
      </w:pPr>
      <w:r w:rsidRPr="00715852">
        <w:rPr>
          <w:rFonts w:ascii="Times New Roman" w:hAnsi="Times New Roman" w:cs="Times New Roman"/>
          <w:noProof/>
          <w:sz w:val="28"/>
          <w:szCs w:val="28"/>
          <w:lang w:val="vi-VN"/>
        </w:rPr>
        <w:t>KINH TẾ SỐ, KINH TẾ TUẦN HOÀN TRÊN ĐỊA BÀN THÀNH PHỐ</w:t>
      </w:r>
    </w:p>
    <w:bookmarkEnd w:id="0"/>
    <w:p w14:paraId="060A4C99" w14:textId="3189643B" w:rsidR="00C21ADF" w:rsidRPr="00715852" w:rsidRDefault="00C636D4" w:rsidP="00AA7B12">
      <w:pPr>
        <w:spacing w:after="0" w:line="240" w:lineRule="auto"/>
        <w:jc w:val="center"/>
        <w:rPr>
          <w:rFonts w:ascii="Times New Roman" w:hAnsi="Times New Roman" w:cs="Times New Roman"/>
          <w:noProof/>
          <w:sz w:val="28"/>
          <w:szCs w:val="28"/>
          <w:lang w:val="vi-VN"/>
        </w:rPr>
      </w:pPr>
      <w:r w:rsidRPr="00715852">
        <w:rPr>
          <w:rFonts w:ascii="Times New Roman" w:hAnsi="Times New Roman" w:cs="Times New Roman"/>
          <w:noProof/>
          <w:sz w:val="28"/>
          <w:szCs w:val="28"/>
          <w:lang w:val="vi-VN"/>
        </w:rPr>
        <mc:AlternateContent>
          <mc:Choice Requires="wps">
            <w:drawing>
              <wp:anchor distT="0" distB="0" distL="114300" distR="114300" simplePos="0" relativeHeight="251661312" behindDoc="0" locked="0" layoutInCell="1" allowOverlap="1" wp14:anchorId="4F26D508" wp14:editId="76FBBDDD">
                <wp:simplePos x="0" y="0"/>
                <wp:positionH relativeFrom="margin">
                  <wp:align>center</wp:align>
                </wp:positionH>
                <wp:positionV relativeFrom="paragraph">
                  <wp:posOffset>118805</wp:posOffset>
                </wp:positionV>
                <wp:extent cx="2235498"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354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CDEFEA"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35pt" to="17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" strokecolor="black [3200]" strokeweight=".5pt">
                <v:stroke joinstyle="miter"/>
                <w10:wrap anchorx="margin"/>
              </v:line>
            </w:pict>
          </mc:Fallback>
        </mc:AlternateContent>
      </w:r>
    </w:p>
    <w:p w14:paraId="16CE5132" w14:textId="7A5888EA" w:rsidR="007636DB" w:rsidRPr="00715852" w:rsidRDefault="007636DB" w:rsidP="000A6832">
      <w:pPr>
        <w:shd w:val="clear" w:color="auto" w:fill="FFFFFF"/>
        <w:spacing w:before="120" w:after="120" w:line="240" w:lineRule="auto"/>
        <w:ind w:firstLine="720"/>
        <w:jc w:val="both"/>
        <w:rPr>
          <w:rFonts w:ascii="Times New Roman" w:eastAsia="Times New Roman" w:hAnsi="Times New Roman" w:cs="Times New Roman"/>
          <w:noProof/>
          <w:color w:val="000000"/>
          <w:sz w:val="28"/>
          <w:szCs w:val="28"/>
          <w:lang w:val="vi-VN"/>
        </w:rPr>
      </w:pPr>
    </w:p>
    <w:p w14:paraId="19F8B4ED" w14:textId="06CD5B12" w:rsidR="00905823" w:rsidRPr="00715852" w:rsidRDefault="00905823" w:rsidP="000A6832">
      <w:pPr>
        <w:shd w:val="clear" w:color="auto" w:fill="FFFFFF"/>
        <w:spacing w:before="120" w:after="120" w:line="240" w:lineRule="auto"/>
        <w:ind w:firstLine="720"/>
        <w:jc w:val="both"/>
        <w:rPr>
          <w:rFonts w:ascii="Times New Roman" w:eastAsia="Times New Roman" w:hAnsi="Times New Roman" w:cs="Times New Roman"/>
          <w:b/>
          <w:bCs/>
          <w:noProof/>
          <w:color w:val="000000"/>
          <w:sz w:val="28"/>
          <w:szCs w:val="28"/>
          <w:lang w:val="vi-VN"/>
        </w:rPr>
      </w:pPr>
      <w:r w:rsidRPr="00715852">
        <w:rPr>
          <w:rFonts w:ascii="Times New Roman" w:eastAsia="Times New Roman" w:hAnsi="Times New Roman" w:cs="Times New Roman"/>
          <w:b/>
          <w:bCs/>
          <w:noProof/>
          <w:color w:val="000000"/>
          <w:sz w:val="28"/>
          <w:szCs w:val="28"/>
          <w:lang w:val="vi-VN"/>
        </w:rPr>
        <w:t>I. QUÁ TRÌNH LẤY Ý KIẾN</w:t>
      </w:r>
    </w:p>
    <w:p w14:paraId="3002E326" w14:textId="77777777" w:rsidR="0029444D" w:rsidRPr="00715852" w:rsidRDefault="00E648B0" w:rsidP="000A6832">
      <w:pPr>
        <w:shd w:val="clear" w:color="auto" w:fill="FFFFFF"/>
        <w:spacing w:before="120" w:after="120" w:line="240" w:lineRule="auto"/>
        <w:ind w:firstLine="720"/>
        <w:jc w:val="both"/>
        <w:rPr>
          <w:rStyle w:val="fontstyle01"/>
          <w:rFonts w:ascii="Times New Roman" w:hAnsi="Times New Roman" w:cs="Times New Roman"/>
          <w:noProof/>
          <w:lang w:val="vi-VN"/>
        </w:rPr>
      </w:pPr>
      <w:r w:rsidRPr="00715852">
        <w:rPr>
          <w:rFonts w:ascii="Times New Roman" w:hAnsi="Times New Roman" w:cs="Times New Roman"/>
          <w:noProof/>
          <w:sz w:val="28"/>
          <w:szCs w:val="28"/>
          <w:lang w:val="vi-VN"/>
        </w:rPr>
        <w:t xml:space="preserve">Căn cứ Luật Ban hành văn bản quy phạm pháp luật, Sở Nông nghiệp và Môi trường </w:t>
      </w:r>
      <w:r w:rsidRPr="00715852">
        <w:rPr>
          <w:rStyle w:val="fontstyle01"/>
          <w:rFonts w:ascii="Times New Roman" w:hAnsi="Times New Roman" w:cs="Times New Roman"/>
          <w:noProof/>
          <w:lang w:val="vi-VN"/>
        </w:rPr>
        <w:t xml:space="preserve">thành phố Đà Nẵng đã tổ chức lấy ý kiến đối với hồ sơ dự thảo Nghị quyết về việc sử dụng nguồn thu từ giao dịch tín chỉ các-bon cho các chương trình, dự án ứng phó với biến đổi khí hậu, phát triển kinh tế xanh, kinh tế số, kinh tế tuần hoàn trên địa bàn thành phố. </w:t>
      </w:r>
      <w:r w:rsidR="0029444D" w:rsidRPr="00715852">
        <w:rPr>
          <w:rStyle w:val="fontstyle01"/>
          <w:rFonts w:ascii="Times New Roman" w:hAnsi="Times New Roman" w:cs="Times New Roman"/>
          <w:noProof/>
          <w:lang w:val="vi-VN"/>
        </w:rPr>
        <w:t>Cụ thể như sau:</w:t>
      </w:r>
    </w:p>
    <w:p w14:paraId="06AE3B8E" w14:textId="3C5F5577" w:rsidR="0029444D" w:rsidRPr="00EB690A" w:rsidRDefault="0029444D" w:rsidP="000A6832">
      <w:pPr>
        <w:shd w:val="clear" w:color="auto" w:fill="FFFFFF"/>
        <w:spacing w:before="120" w:after="120" w:line="240" w:lineRule="auto"/>
        <w:ind w:firstLine="720"/>
        <w:jc w:val="both"/>
        <w:rPr>
          <w:rFonts w:ascii="Times New Roman" w:hAnsi="Times New Roman" w:cs="Times New Roman"/>
          <w:noProof/>
          <w:sz w:val="28"/>
          <w:szCs w:val="28"/>
          <w:lang w:val="vi-VN"/>
        </w:rPr>
      </w:pPr>
      <w:r w:rsidRPr="00715852">
        <w:rPr>
          <w:rFonts w:ascii="Times New Roman" w:hAnsi="Times New Roman" w:cs="Times New Roman"/>
          <w:noProof/>
          <w:sz w:val="28"/>
          <w:szCs w:val="28"/>
          <w:lang w:val="vi-VN"/>
        </w:rPr>
        <w:t xml:space="preserve">- Công văn số 366/SNNMT-CCMT ngày 16/7/2025 gửi lấy ý kiến </w:t>
      </w:r>
      <w:r w:rsidRPr="00715852">
        <w:rPr>
          <w:rFonts w:ascii="Times New Roman" w:hAnsi="Times New Roman" w:cs="Times New Roman"/>
          <w:b/>
          <w:bCs/>
          <w:noProof/>
          <w:sz w:val="28"/>
          <w:szCs w:val="28"/>
          <w:lang w:val="vi-VN"/>
        </w:rPr>
        <w:t>05</w:t>
      </w:r>
      <w:r w:rsidRPr="00715852">
        <w:rPr>
          <w:rFonts w:ascii="Times New Roman" w:hAnsi="Times New Roman" w:cs="Times New Roman"/>
          <w:noProof/>
          <w:sz w:val="28"/>
          <w:szCs w:val="28"/>
          <w:lang w:val="vi-VN"/>
        </w:rPr>
        <w:t xml:space="preserve"> Sở (Nội vụ, Tài chính, Tư pháp, Xây dựng, Khoa học và Công nghệ). Đã có </w:t>
      </w:r>
      <w:r w:rsidRPr="00715852">
        <w:rPr>
          <w:rFonts w:ascii="Times New Roman" w:hAnsi="Times New Roman" w:cs="Times New Roman"/>
          <w:b/>
          <w:bCs/>
          <w:noProof/>
          <w:sz w:val="28"/>
          <w:szCs w:val="28"/>
          <w:lang w:val="vi-VN"/>
        </w:rPr>
        <w:t>0</w:t>
      </w:r>
      <w:r w:rsidR="00EB690A" w:rsidRPr="00EB690A">
        <w:rPr>
          <w:rFonts w:ascii="Times New Roman" w:hAnsi="Times New Roman" w:cs="Times New Roman"/>
          <w:b/>
          <w:bCs/>
          <w:noProof/>
          <w:sz w:val="28"/>
          <w:szCs w:val="28"/>
          <w:lang w:val="vi-VN"/>
        </w:rPr>
        <w:t>4</w:t>
      </w:r>
      <w:r w:rsidRPr="00715852">
        <w:rPr>
          <w:rFonts w:ascii="Times New Roman" w:hAnsi="Times New Roman" w:cs="Times New Roman"/>
          <w:b/>
          <w:bCs/>
          <w:noProof/>
          <w:sz w:val="28"/>
          <w:szCs w:val="28"/>
          <w:lang w:val="vi-VN"/>
        </w:rPr>
        <w:t>/05</w:t>
      </w:r>
      <w:r w:rsidRPr="00715852">
        <w:rPr>
          <w:rFonts w:ascii="Times New Roman" w:hAnsi="Times New Roman" w:cs="Times New Roman"/>
          <w:noProof/>
          <w:sz w:val="28"/>
          <w:szCs w:val="28"/>
          <w:lang w:val="vi-VN"/>
        </w:rPr>
        <w:t xml:space="preserve"> đơn vị có phản hồi bằng văn bản:</w:t>
      </w:r>
      <w:r w:rsidR="00EB690A" w:rsidRPr="00EB690A">
        <w:rPr>
          <w:rFonts w:ascii="Times New Roman" w:hAnsi="Times New Roman" w:cs="Times New Roman"/>
          <w:noProof/>
          <w:sz w:val="28"/>
          <w:szCs w:val="28"/>
          <w:lang w:val="vi-VN"/>
        </w:rPr>
        <w:t xml:space="preserve"> </w:t>
      </w:r>
      <w:r w:rsidRPr="00715852">
        <w:rPr>
          <w:rFonts w:ascii="Times New Roman" w:hAnsi="Times New Roman" w:cs="Times New Roman"/>
          <w:noProof/>
          <w:sz w:val="28"/>
          <w:szCs w:val="28"/>
          <w:lang w:val="vi-VN"/>
        </w:rPr>
        <w:t>Sở Tài chính</w:t>
      </w:r>
      <w:r w:rsidR="00197C84" w:rsidRPr="00197C84">
        <w:rPr>
          <w:rFonts w:ascii="Times New Roman" w:hAnsi="Times New Roman" w:cs="Times New Roman"/>
          <w:noProof/>
          <w:sz w:val="28"/>
          <w:szCs w:val="28"/>
          <w:lang w:val="vi-VN"/>
        </w:rPr>
        <w:t xml:space="preserve">, </w:t>
      </w:r>
      <w:r w:rsidRPr="00715852">
        <w:rPr>
          <w:rFonts w:ascii="Times New Roman" w:hAnsi="Times New Roman" w:cs="Times New Roman"/>
          <w:noProof/>
          <w:sz w:val="28"/>
          <w:szCs w:val="28"/>
          <w:lang w:val="vi-VN"/>
        </w:rPr>
        <w:t>Sở Khoa học và Công nghệ</w:t>
      </w:r>
      <w:r w:rsidR="00197C84" w:rsidRPr="00197C84">
        <w:rPr>
          <w:rFonts w:ascii="Times New Roman" w:hAnsi="Times New Roman" w:cs="Times New Roman"/>
          <w:noProof/>
          <w:sz w:val="28"/>
          <w:szCs w:val="28"/>
          <w:lang w:val="vi-VN"/>
        </w:rPr>
        <w:t xml:space="preserve">, </w:t>
      </w:r>
      <w:r w:rsidR="00EB690A" w:rsidRPr="00EB690A">
        <w:rPr>
          <w:rFonts w:ascii="Times New Roman" w:hAnsi="Times New Roman" w:cs="Times New Roman"/>
          <w:noProof/>
          <w:sz w:val="28"/>
          <w:szCs w:val="28"/>
          <w:lang w:val="vi-VN"/>
        </w:rPr>
        <w:t xml:space="preserve">Sở Nội vụ </w:t>
      </w:r>
      <w:r w:rsidR="00197C84" w:rsidRPr="00197C84">
        <w:rPr>
          <w:rFonts w:ascii="Times New Roman" w:hAnsi="Times New Roman" w:cs="Times New Roman"/>
          <w:noProof/>
          <w:sz w:val="28"/>
          <w:szCs w:val="28"/>
          <w:lang w:val="vi-VN"/>
        </w:rPr>
        <w:t>và Sở Tư ph</w:t>
      </w:r>
      <w:r w:rsidR="00197C84" w:rsidRPr="000E44D8">
        <w:rPr>
          <w:rFonts w:ascii="Times New Roman" w:hAnsi="Times New Roman" w:cs="Times New Roman"/>
          <w:noProof/>
          <w:sz w:val="28"/>
          <w:szCs w:val="28"/>
          <w:lang w:val="vi-VN"/>
        </w:rPr>
        <w:t>áp</w:t>
      </w:r>
      <w:r w:rsidRPr="00715852">
        <w:rPr>
          <w:rFonts w:ascii="Times New Roman" w:hAnsi="Times New Roman" w:cs="Times New Roman"/>
          <w:noProof/>
          <w:sz w:val="28"/>
          <w:szCs w:val="28"/>
          <w:lang w:val="vi-VN"/>
        </w:rPr>
        <w:t>.</w:t>
      </w:r>
    </w:p>
    <w:p w14:paraId="6659E0BC" w14:textId="164F8481" w:rsidR="0029444D" w:rsidRPr="00715852" w:rsidRDefault="0029444D" w:rsidP="000A6832">
      <w:pPr>
        <w:shd w:val="clear" w:color="auto" w:fill="FFFFFF"/>
        <w:spacing w:before="120" w:after="120" w:line="240" w:lineRule="auto"/>
        <w:ind w:firstLine="720"/>
        <w:jc w:val="both"/>
        <w:rPr>
          <w:rFonts w:ascii="Times New Roman" w:hAnsi="Times New Roman" w:cs="Times New Roman"/>
          <w:noProof/>
          <w:sz w:val="28"/>
          <w:szCs w:val="28"/>
          <w:lang w:val="vi-VN"/>
        </w:rPr>
      </w:pPr>
      <w:r w:rsidRPr="00715852">
        <w:rPr>
          <w:rFonts w:ascii="Times New Roman" w:hAnsi="Times New Roman" w:cs="Times New Roman"/>
          <w:noProof/>
          <w:sz w:val="28"/>
          <w:szCs w:val="28"/>
          <w:lang w:val="vi-VN"/>
        </w:rPr>
        <w:t xml:space="preserve">- Công văn số 367/SNNMT-CCMT ngày 16/7/2025 gửi lấy ý kiến </w:t>
      </w:r>
      <w:r w:rsidRPr="00715852">
        <w:rPr>
          <w:rFonts w:ascii="Times New Roman" w:hAnsi="Times New Roman" w:cs="Times New Roman"/>
          <w:b/>
          <w:bCs/>
          <w:noProof/>
          <w:sz w:val="28"/>
          <w:szCs w:val="28"/>
          <w:lang w:val="vi-VN"/>
        </w:rPr>
        <w:t>02</w:t>
      </w:r>
      <w:r w:rsidRPr="00715852">
        <w:rPr>
          <w:rFonts w:ascii="Times New Roman" w:hAnsi="Times New Roman" w:cs="Times New Roman"/>
          <w:noProof/>
          <w:sz w:val="28"/>
          <w:szCs w:val="28"/>
          <w:lang w:val="vi-VN"/>
        </w:rPr>
        <w:t xml:space="preserve"> Bộ (Nông nghiệp và Môi trường, Tài chính). Đã có </w:t>
      </w:r>
      <w:r w:rsidRPr="00715852">
        <w:rPr>
          <w:rFonts w:ascii="Times New Roman" w:hAnsi="Times New Roman" w:cs="Times New Roman"/>
          <w:b/>
          <w:bCs/>
          <w:noProof/>
          <w:sz w:val="28"/>
          <w:szCs w:val="28"/>
          <w:lang w:val="vi-VN"/>
        </w:rPr>
        <w:t>01/02</w:t>
      </w:r>
      <w:r w:rsidRPr="00715852">
        <w:rPr>
          <w:rFonts w:ascii="Times New Roman" w:hAnsi="Times New Roman" w:cs="Times New Roman"/>
          <w:noProof/>
          <w:sz w:val="28"/>
          <w:szCs w:val="28"/>
          <w:lang w:val="vi-VN"/>
        </w:rPr>
        <w:t xml:space="preserve"> đơn vị có phản hồi bằng văn bản: Bộ Nông nghiệp và Môi trường</w:t>
      </w:r>
      <w:r w:rsidR="005E1DA9" w:rsidRPr="00715852">
        <w:rPr>
          <w:rFonts w:ascii="Times New Roman" w:hAnsi="Times New Roman" w:cs="Times New Roman"/>
          <w:noProof/>
          <w:sz w:val="28"/>
          <w:szCs w:val="28"/>
          <w:lang w:val="vi-VN"/>
        </w:rPr>
        <w:t>.</w:t>
      </w:r>
    </w:p>
    <w:p w14:paraId="6E0CB4B8" w14:textId="0BA9371D" w:rsidR="0029444D" w:rsidRPr="00715852" w:rsidRDefault="0029444D" w:rsidP="000A6832">
      <w:pPr>
        <w:shd w:val="clear" w:color="auto" w:fill="FFFFFF"/>
        <w:spacing w:before="120" w:after="120" w:line="240" w:lineRule="auto"/>
        <w:ind w:firstLine="720"/>
        <w:jc w:val="both"/>
        <w:rPr>
          <w:rFonts w:ascii="Times New Roman" w:hAnsi="Times New Roman" w:cs="Times New Roman"/>
          <w:noProof/>
          <w:sz w:val="28"/>
          <w:szCs w:val="28"/>
          <w:lang w:val="vi-VN"/>
        </w:rPr>
      </w:pPr>
      <w:r w:rsidRPr="00715852">
        <w:rPr>
          <w:rFonts w:ascii="Times New Roman" w:hAnsi="Times New Roman" w:cs="Times New Roman"/>
          <w:noProof/>
          <w:sz w:val="28"/>
          <w:szCs w:val="28"/>
          <w:lang w:val="vi-VN"/>
        </w:rPr>
        <w:t xml:space="preserve">- Công văn số 368/SNNMT-CCMT ngày 16/7/2025 đề nghị đăng tải trên Cổng thông tin điện tử để lấy ý kiến các cơ quan, tổ chức, cá nhân. </w:t>
      </w:r>
      <w:r w:rsidRPr="00715852">
        <w:rPr>
          <w:rFonts w:ascii="Times New Roman" w:hAnsi="Times New Roman" w:cs="Times New Roman"/>
          <w:b/>
          <w:bCs/>
          <w:noProof/>
          <w:sz w:val="28"/>
          <w:szCs w:val="28"/>
          <w:lang w:val="vi-VN"/>
        </w:rPr>
        <w:t>Không có góp ý.</w:t>
      </w:r>
    </w:p>
    <w:p w14:paraId="0E9363AB" w14:textId="1C83039F" w:rsidR="0029444D" w:rsidRPr="00715852" w:rsidRDefault="0029444D" w:rsidP="000A6832">
      <w:pPr>
        <w:shd w:val="clear" w:color="auto" w:fill="FFFFFF"/>
        <w:spacing w:before="120" w:after="120" w:line="240" w:lineRule="auto"/>
        <w:ind w:firstLine="720"/>
        <w:jc w:val="both"/>
        <w:rPr>
          <w:rFonts w:ascii="Times New Roman" w:hAnsi="Times New Roman" w:cs="Times New Roman"/>
          <w:noProof/>
          <w:sz w:val="28"/>
          <w:szCs w:val="28"/>
          <w:lang w:val="vi-VN"/>
        </w:rPr>
      </w:pPr>
      <w:r w:rsidRPr="00715852">
        <w:rPr>
          <w:rStyle w:val="fontstyle01"/>
          <w:rFonts w:ascii="Times New Roman" w:hAnsi="Times New Roman" w:cs="Times New Roman"/>
          <w:noProof/>
          <w:lang w:val="vi-VN"/>
        </w:rPr>
        <w:t xml:space="preserve">- Công văn số 954/SNNMT-CCMT ngày 31/7/2025 </w:t>
      </w:r>
      <w:r w:rsidRPr="00715852">
        <w:rPr>
          <w:rFonts w:ascii="Times New Roman" w:hAnsi="Times New Roman" w:cs="Times New Roman"/>
          <w:noProof/>
          <w:sz w:val="28"/>
          <w:szCs w:val="28"/>
          <w:lang w:val="vi-VN"/>
        </w:rPr>
        <w:t>gửi lấy ý kiến</w:t>
      </w:r>
      <w:r w:rsidRPr="00715852">
        <w:rPr>
          <w:rFonts w:ascii="Times New Roman" w:hAnsi="Times New Roman" w:cs="Times New Roman"/>
          <w:noProof/>
          <w:lang w:val="vi-VN"/>
        </w:rPr>
        <w:t xml:space="preserve"> </w:t>
      </w:r>
      <w:r w:rsidRPr="00715852">
        <w:rPr>
          <w:rFonts w:ascii="Times New Roman" w:hAnsi="Times New Roman" w:cs="Times New Roman"/>
          <w:noProof/>
          <w:sz w:val="28"/>
          <w:szCs w:val="28"/>
          <w:lang w:val="vi-VN"/>
        </w:rPr>
        <w:t>Kho bạc Nhà nước khu vực XIII (theo đề nghị của Sở Tài chính).</w:t>
      </w:r>
      <w:r w:rsidR="005A2352" w:rsidRPr="00715852">
        <w:rPr>
          <w:rFonts w:ascii="Times New Roman" w:hAnsi="Times New Roman" w:cs="Times New Roman"/>
          <w:noProof/>
          <w:sz w:val="28"/>
          <w:szCs w:val="28"/>
          <w:lang w:val="vi-VN"/>
        </w:rPr>
        <w:t xml:space="preserve"> Đơn vị đã có phản hồi bằng văn bản.</w:t>
      </w:r>
    </w:p>
    <w:p w14:paraId="5BA4E779" w14:textId="6B9240B8" w:rsidR="0029444D" w:rsidRPr="00715852" w:rsidRDefault="0029444D" w:rsidP="000A6832">
      <w:pPr>
        <w:shd w:val="clear" w:color="auto" w:fill="FFFFFF"/>
        <w:spacing w:before="120" w:after="120" w:line="240" w:lineRule="auto"/>
        <w:ind w:firstLine="720"/>
        <w:jc w:val="both"/>
        <w:rPr>
          <w:rStyle w:val="fontstyle01"/>
          <w:rFonts w:ascii="Times New Roman" w:hAnsi="Times New Roman" w:cs="Times New Roman"/>
          <w:noProof/>
          <w:lang w:val="vi-VN"/>
        </w:rPr>
      </w:pPr>
      <w:r w:rsidRPr="00715852">
        <w:rPr>
          <w:rFonts w:ascii="Times New Roman" w:hAnsi="Times New Roman" w:cs="Times New Roman"/>
          <w:noProof/>
          <w:sz w:val="28"/>
          <w:szCs w:val="28"/>
          <w:lang w:val="vi-VN"/>
        </w:rPr>
        <w:t xml:space="preserve">- Ngoài ra, ngày 11/02/2025, Sở Nông nghiệp và Môi trường (trước đây là Sở Tài nguyên và Môi trường) đã lấy ý kiến lần 1 đối với dự thảo </w:t>
      </w:r>
      <w:r w:rsidRPr="00715852">
        <w:rPr>
          <w:rStyle w:val="fontstyle01"/>
          <w:rFonts w:ascii="Times New Roman" w:hAnsi="Times New Roman" w:cs="Times New Roman"/>
          <w:noProof/>
          <w:lang w:val="vi-VN"/>
        </w:rPr>
        <w:t>Nghị quyết</w:t>
      </w:r>
      <w:r w:rsidR="005A2352" w:rsidRPr="00715852">
        <w:rPr>
          <w:rStyle w:val="fontstyle01"/>
          <w:rFonts w:ascii="Times New Roman" w:hAnsi="Times New Roman" w:cs="Times New Roman"/>
          <w:noProof/>
          <w:lang w:val="vi-VN"/>
        </w:rPr>
        <w:t xml:space="preserve"> theo quy trình văn bản hành chính thông thường tại Công văn số 713/STNMT-CCBĐMT</w:t>
      </w:r>
      <w:r w:rsidR="0094493A" w:rsidRPr="00715852">
        <w:rPr>
          <w:rStyle w:val="fontstyle01"/>
          <w:rFonts w:ascii="Times New Roman" w:hAnsi="Times New Roman" w:cs="Times New Roman"/>
          <w:noProof/>
          <w:lang w:val="vi-VN"/>
        </w:rPr>
        <w:t xml:space="preserve">. </w:t>
      </w:r>
      <w:r w:rsidR="0094493A" w:rsidRPr="00715852">
        <w:rPr>
          <w:rStyle w:val="fontstyle01"/>
          <w:rFonts w:ascii="Times New Roman" w:hAnsi="Times New Roman" w:cs="Times New Roman"/>
          <w:noProof/>
          <w:lang w:val="vi-VN"/>
        </w:rPr>
        <w:lastRenderedPageBreak/>
        <w:t>Nội dung dự thảo Nghị quyết lấy ý kiến không thay đổi, chỉ khác quy trình xây dựng văn bản</w:t>
      </w:r>
      <w:r w:rsidR="0094493A" w:rsidRPr="00715852">
        <w:rPr>
          <w:rStyle w:val="FootnoteReference"/>
          <w:rFonts w:ascii="Times New Roman" w:hAnsi="Times New Roman" w:cs="Times New Roman"/>
          <w:noProof/>
          <w:color w:val="000000"/>
          <w:sz w:val="28"/>
          <w:szCs w:val="28"/>
          <w:lang w:val="vi-VN"/>
        </w:rPr>
        <w:footnoteReference w:id="1"/>
      </w:r>
      <w:r w:rsidR="0094493A" w:rsidRPr="00715852">
        <w:rPr>
          <w:rStyle w:val="fontstyle01"/>
          <w:rFonts w:ascii="Times New Roman" w:hAnsi="Times New Roman" w:cs="Times New Roman"/>
          <w:noProof/>
          <w:lang w:val="vi-VN"/>
        </w:rPr>
        <w:t>. Công văn số 713/STNMT-CCBĐMT</w:t>
      </w:r>
      <w:r w:rsidR="0094493A" w:rsidRPr="00715852">
        <w:rPr>
          <w:rFonts w:ascii="Times New Roman" w:hAnsi="Times New Roman" w:cs="Times New Roman"/>
          <w:noProof/>
          <w:sz w:val="28"/>
          <w:szCs w:val="28"/>
          <w:lang w:val="vi-VN"/>
        </w:rPr>
        <w:t xml:space="preserve"> ngày 11/02/2025 gửi lấy ý kiến </w:t>
      </w:r>
      <w:r w:rsidR="0094493A" w:rsidRPr="00715852">
        <w:rPr>
          <w:rFonts w:ascii="Times New Roman" w:hAnsi="Times New Roman" w:cs="Times New Roman"/>
          <w:b/>
          <w:bCs/>
          <w:noProof/>
          <w:sz w:val="28"/>
          <w:szCs w:val="28"/>
          <w:lang w:val="vi-VN"/>
        </w:rPr>
        <w:t>25</w:t>
      </w:r>
      <w:r w:rsidR="0094493A" w:rsidRPr="00715852">
        <w:rPr>
          <w:rFonts w:ascii="Times New Roman" w:hAnsi="Times New Roman" w:cs="Times New Roman"/>
          <w:noProof/>
          <w:sz w:val="28"/>
          <w:szCs w:val="28"/>
          <w:lang w:val="vi-VN"/>
        </w:rPr>
        <w:t xml:space="preserve"> đơn vị (gồm 16 Sở, 8 quận/huyện, và Viện Nghiên cứu Phát triển Kinh tế - Xã hội Đà Nẵng)</w:t>
      </w:r>
      <w:r w:rsidR="00413308" w:rsidRPr="00715852">
        <w:rPr>
          <w:rFonts w:ascii="Times New Roman" w:hAnsi="Times New Roman" w:cs="Times New Roman"/>
          <w:noProof/>
          <w:sz w:val="28"/>
          <w:szCs w:val="28"/>
          <w:lang w:val="vi-VN"/>
        </w:rPr>
        <w:t xml:space="preserve">. Đã có </w:t>
      </w:r>
      <w:r w:rsidR="00413308" w:rsidRPr="00715852">
        <w:rPr>
          <w:rFonts w:ascii="Times New Roman" w:hAnsi="Times New Roman" w:cs="Times New Roman"/>
          <w:b/>
          <w:bCs/>
          <w:noProof/>
          <w:sz w:val="28"/>
          <w:szCs w:val="28"/>
          <w:lang w:val="vi-VN"/>
        </w:rPr>
        <w:t>15/25</w:t>
      </w:r>
      <w:r w:rsidR="00413308" w:rsidRPr="00715852">
        <w:rPr>
          <w:rFonts w:ascii="Times New Roman" w:hAnsi="Times New Roman" w:cs="Times New Roman"/>
          <w:noProof/>
          <w:sz w:val="28"/>
          <w:szCs w:val="28"/>
          <w:lang w:val="vi-VN"/>
        </w:rPr>
        <w:t xml:space="preserve"> đơn vị có phản hồi bằng văn bản.</w:t>
      </w:r>
    </w:p>
    <w:p w14:paraId="76C1C0F2" w14:textId="77777777" w:rsidR="006C5853" w:rsidRPr="00715852" w:rsidRDefault="006C5853" w:rsidP="000A6832">
      <w:pPr>
        <w:shd w:val="clear" w:color="auto" w:fill="FFFFFF"/>
        <w:spacing w:before="120" w:after="120" w:line="240" w:lineRule="auto"/>
        <w:ind w:firstLine="720"/>
        <w:jc w:val="both"/>
        <w:rPr>
          <w:rFonts w:ascii="Times New Roman" w:eastAsia="Times New Roman" w:hAnsi="Times New Roman" w:cs="Times New Roman"/>
          <w:noProof/>
          <w:color w:val="000000"/>
          <w:sz w:val="28"/>
          <w:szCs w:val="28"/>
          <w:lang w:val="vi-VN"/>
        </w:rPr>
      </w:pPr>
    </w:p>
    <w:p w14:paraId="1BF116AB" w14:textId="6D52FE09" w:rsidR="0051752E" w:rsidRPr="00715852" w:rsidRDefault="00905823" w:rsidP="000A6832">
      <w:pPr>
        <w:shd w:val="clear" w:color="auto" w:fill="FFFFFF"/>
        <w:spacing w:before="120" w:after="120" w:line="240" w:lineRule="auto"/>
        <w:ind w:firstLine="720"/>
        <w:jc w:val="both"/>
        <w:rPr>
          <w:rFonts w:ascii="Times New Roman" w:eastAsia="Times New Roman" w:hAnsi="Times New Roman" w:cs="Times New Roman"/>
          <w:b/>
          <w:bCs/>
          <w:noProof/>
          <w:color w:val="000000"/>
          <w:sz w:val="28"/>
          <w:szCs w:val="28"/>
          <w:lang w:val="vi-VN"/>
        </w:rPr>
      </w:pPr>
      <w:r w:rsidRPr="00715852">
        <w:rPr>
          <w:rFonts w:ascii="Times New Roman" w:eastAsia="Times New Roman" w:hAnsi="Times New Roman" w:cs="Times New Roman"/>
          <w:b/>
          <w:bCs/>
          <w:noProof/>
          <w:color w:val="000000"/>
          <w:sz w:val="28"/>
          <w:szCs w:val="28"/>
          <w:lang w:val="vi-VN"/>
        </w:rPr>
        <w:t>II. KẾT QUẢ GÓP Ý</w:t>
      </w:r>
    </w:p>
    <w:p w14:paraId="604610C9" w14:textId="08722E12" w:rsidR="00905823" w:rsidRPr="00715852" w:rsidRDefault="00905823" w:rsidP="000A6832">
      <w:pPr>
        <w:shd w:val="clear" w:color="auto" w:fill="FFFFFF"/>
        <w:spacing w:before="120" w:after="120" w:line="240" w:lineRule="auto"/>
        <w:ind w:firstLine="720"/>
        <w:jc w:val="both"/>
        <w:rPr>
          <w:rFonts w:ascii="Times New Roman" w:eastAsia="Times New Roman" w:hAnsi="Times New Roman" w:cs="Times New Roman"/>
          <w:b/>
          <w:bCs/>
          <w:noProof/>
          <w:color w:val="000000"/>
          <w:sz w:val="28"/>
          <w:szCs w:val="28"/>
          <w:lang w:val="vi-VN"/>
        </w:rPr>
      </w:pPr>
      <w:r w:rsidRPr="00715852">
        <w:rPr>
          <w:rFonts w:ascii="Times New Roman" w:eastAsia="Times New Roman" w:hAnsi="Times New Roman" w:cs="Times New Roman"/>
          <w:b/>
          <w:bCs/>
          <w:noProof/>
          <w:color w:val="000000"/>
          <w:sz w:val="28"/>
          <w:szCs w:val="28"/>
          <w:lang w:val="vi-VN"/>
        </w:rPr>
        <w:t>1. Góp ý theo đề nghị lần 1 tại Công văn số 713/STNMT-CCBĐMT</w:t>
      </w:r>
    </w:p>
    <w:tbl>
      <w:tblPr>
        <w:tblStyle w:val="TableGrid"/>
        <w:tblW w:w="14125" w:type="dxa"/>
        <w:jc w:val="center"/>
        <w:tblLayout w:type="fixed"/>
        <w:tblLook w:val="04A0" w:firstRow="1" w:lastRow="0" w:firstColumn="1" w:lastColumn="0" w:noHBand="0" w:noVBand="1"/>
      </w:tblPr>
      <w:tblGrid>
        <w:gridCol w:w="704"/>
        <w:gridCol w:w="1843"/>
        <w:gridCol w:w="7087"/>
        <w:gridCol w:w="4491"/>
      </w:tblGrid>
      <w:tr w:rsidR="00905823" w:rsidRPr="00715852" w14:paraId="70678295" w14:textId="77777777" w:rsidTr="00DF3999">
        <w:trPr>
          <w:tblHeader/>
          <w:jc w:val="center"/>
        </w:trPr>
        <w:tc>
          <w:tcPr>
            <w:tcW w:w="704" w:type="dxa"/>
          </w:tcPr>
          <w:p w14:paraId="12D44F6A" w14:textId="77777777" w:rsidR="00905823" w:rsidRPr="00715852" w:rsidRDefault="00905823" w:rsidP="00DF3999">
            <w:pPr>
              <w:spacing w:before="60" w:after="60" w:line="240" w:lineRule="auto"/>
              <w:jc w:val="center"/>
              <w:rPr>
                <w:rFonts w:ascii="Times New Roman" w:eastAsia="Times New Roman" w:hAnsi="Times New Roman" w:cs="Times New Roman"/>
                <w:b/>
                <w:bCs/>
                <w:noProof/>
                <w:color w:val="000000"/>
                <w:sz w:val="26"/>
                <w:szCs w:val="26"/>
                <w:lang w:val="vi-VN"/>
              </w:rPr>
            </w:pPr>
            <w:r w:rsidRPr="00715852">
              <w:rPr>
                <w:rFonts w:ascii="Times New Roman" w:eastAsia="Times New Roman" w:hAnsi="Times New Roman" w:cs="Times New Roman"/>
                <w:b/>
                <w:bCs/>
                <w:noProof/>
                <w:color w:val="000000"/>
                <w:sz w:val="26"/>
                <w:szCs w:val="26"/>
                <w:lang w:val="vi-VN"/>
              </w:rPr>
              <w:t>TT</w:t>
            </w:r>
          </w:p>
        </w:tc>
        <w:tc>
          <w:tcPr>
            <w:tcW w:w="1843" w:type="dxa"/>
          </w:tcPr>
          <w:p w14:paraId="75F746E2" w14:textId="77777777" w:rsidR="00905823" w:rsidRPr="00715852" w:rsidRDefault="00905823" w:rsidP="00DF3999">
            <w:pPr>
              <w:spacing w:before="60" w:after="60" w:line="240" w:lineRule="auto"/>
              <w:jc w:val="center"/>
              <w:rPr>
                <w:rFonts w:ascii="Times New Roman" w:eastAsia="Times New Roman" w:hAnsi="Times New Roman" w:cs="Times New Roman"/>
                <w:b/>
                <w:bCs/>
                <w:noProof/>
                <w:color w:val="000000"/>
                <w:sz w:val="26"/>
                <w:szCs w:val="26"/>
                <w:lang w:val="vi-VN"/>
              </w:rPr>
            </w:pPr>
            <w:r w:rsidRPr="00715852">
              <w:rPr>
                <w:rFonts w:ascii="Times New Roman" w:eastAsia="Times New Roman" w:hAnsi="Times New Roman" w:cs="Times New Roman"/>
                <w:b/>
                <w:bCs/>
                <w:noProof/>
                <w:color w:val="000000"/>
                <w:sz w:val="26"/>
                <w:szCs w:val="26"/>
                <w:lang w:val="vi-VN"/>
              </w:rPr>
              <w:t>CƠ QUAN, ĐƠN VỊ</w:t>
            </w:r>
          </w:p>
        </w:tc>
        <w:tc>
          <w:tcPr>
            <w:tcW w:w="7087" w:type="dxa"/>
          </w:tcPr>
          <w:p w14:paraId="2A6740D7" w14:textId="77777777" w:rsidR="00905823" w:rsidRPr="00715852" w:rsidRDefault="00905823" w:rsidP="00DF3999">
            <w:pPr>
              <w:spacing w:before="60" w:after="60" w:line="240" w:lineRule="auto"/>
              <w:jc w:val="center"/>
              <w:rPr>
                <w:rFonts w:ascii="Times New Roman" w:eastAsia="Times New Roman" w:hAnsi="Times New Roman" w:cs="Times New Roman"/>
                <w:b/>
                <w:bCs/>
                <w:noProof/>
                <w:color w:val="000000"/>
                <w:sz w:val="26"/>
                <w:szCs w:val="26"/>
                <w:lang w:val="vi-VN"/>
              </w:rPr>
            </w:pPr>
            <w:r w:rsidRPr="00715852">
              <w:rPr>
                <w:rFonts w:ascii="Times New Roman" w:eastAsia="Times New Roman" w:hAnsi="Times New Roman" w:cs="Times New Roman"/>
                <w:b/>
                <w:bCs/>
                <w:noProof/>
                <w:color w:val="000000"/>
                <w:sz w:val="26"/>
                <w:szCs w:val="26"/>
                <w:lang w:val="vi-VN"/>
              </w:rPr>
              <w:t>NỘI DUNG GÓP Ý</w:t>
            </w:r>
          </w:p>
        </w:tc>
        <w:tc>
          <w:tcPr>
            <w:tcW w:w="4491" w:type="dxa"/>
          </w:tcPr>
          <w:p w14:paraId="562F51F2" w14:textId="77777777" w:rsidR="00905823" w:rsidRPr="00715852" w:rsidRDefault="00905823" w:rsidP="00DF3999">
            <w:pPr>
              <w:spacing w:before="60" w:after="60" w:line="240" w:lineRule="auto"/>
              <w:jc w:val="center"/>
              <w:rPr>
                <w:rFonts w:ascii="Times New Roman" w:eastAsia="Times New Roman" w:hAnsi="Times New Roman" w:cs="Times New Roman"/>
                <w:b/>
                <w:bCs/>
                <w:noProof/>
                <w:color w:val="000000"/>
                <w:sz w:val="26"/>
                <w:szCs w:val="26"/>
                <w:lang w:val="vi-VN"/>
              </w:rPr>
            </w:pPr>
            <w:r w:rsidRPr="00715852">
              <w:rPr>
                <w:rFonts w:ascii="Times New Roman" w:eastAsia="Times New Roman" w:hAnsi="Times New Roman" w:cs="Times New Roman"/>
                <w:b/>
                <w:bCs/>
                <w:noProof/>
                <w:color w:val="000000"/>
                <w:sz w:val="26"/>
                <w:szCs w:val="26"/>
                <w:lang w:val="vi-VN"/>
              </w:rPr>
              <w:t>NỘI DUNG TIẾP THU, GIẢI TRÌNH</w:t>
            </w:r>
          </w:p>
        </w:tc>
      </w:tr>
      <w:tr w:rsidR="00905823" w:rsidRPr="00EB690A" w14:paraId="533BD19A" w14:textId="77777777" w:rsidTr="00DF3999">
        <w:trPr>
          <w:jc w:val="center"/>
        </w:trPr>
        <w:tc>
          <w:tcPr>
            <w:tcW w:w="704" w:type="dxa"/>
          </w:tcPr>
          <w:p w14:paraId="4E098DE2" w14:textId="77777777" w:rsidR="00905823" w:rsidRPr="00715852" w:rsidRDefault="00905823" w:rsidP="00DF3999">
            <w:pPr>
              <w:spacing w:before="60" w:after="60" w:line="240" w:lineRule="auto"/>
              <w:jc w:val="center"/>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t>1</w:t>
            </w:r>
          </w:p>
        </w:tc>
        <w:tc>
          <w:tcPr>
            <w:tcW w:w="1843" w:type="dxa"/>
          </w:tcPr>
          <w:p w14:paraId="5F94E566" w14:textId="77777777" w:rsidR="00905823" w:rsidRPr="00715852" w:rsidRDefault="00905823" w:rsidP="00DF3999">
            <w:pPr>
              <w:spacing w:before="60" w:after="60" w:line="240" w:lineRule="auto"/>
              <w:jc w:val="both"/>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lang w:val="vi-VN"/>
              </w:rPr>
              <w:t>Sở Tư pháp</w:t>
            </w:r>
          </w:p>
        </w:tc>
        <w:tc>
          <w:tcPr>
            <w:tcW w:w="7087" w:type="dxa"/>
          </w:tcPr>
          <w:p w14:paraId="6E317323" w14:textId="5FEF1A4E" w:rsidR="00905823" w:rsidRPr="00715852" w:rsidRDefault="00905823" w:rsidP="00DF3999">
            <w:pPr>
              <w:spacing w:before="60" w:after="60" w:line="240" w:lineRule="auto"/>
              <w:jc w:val="both"/>
              <w:rPr>
                <w:rFonts w:ascii="Times New Roman" w:eastAsia="Times New Roman" w:hAnsi="Times New Roman" w:cs="Times New Roman"/>
                <w:b/>
                <w:bCs/>
                <w:noProof/>
                <w:color w:val="000000"/>
                <w:sz w:val="26"/>
                <w:szCs w:val="26"/>
                <w:lang w:val="vi-VN"/>
              </w:rPr>
            </w:pPr>
            <w:r w:rsidRPr="00715852">
              <w:rPr>
                <w:rFonts w:ascii="Times New Roman" w:eastAsia="Times New Roman" w:hAnsi="Times New Roman" w:cs="Times New Roman"/>
                <w:b/>
                <w:bCs/>
                <w:noProof/>
                <w:color w:val="000000"/>
                <w:sz w:val="26"/>
                <w:szCs w:val="26"/>
                <w:lang w:val="vi-VN"/>
              </w:rPr>
              <w:t>Công văn số 796/STP-XDKTVB ngày 27/02/2025</w:t>
            </w:r>
          </w:p>
          <w:p w14:paraId="7A1AF3EE" w14:textId="77777777" w:rsidR="00905823" w:rsidRPr="00715852" w:rsidRDefault="00905823" w:rsidP="00DF3999">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t xml:space="preserve">Phạm vi của Nghị quyết này là quy định về sử dụng nguồn thu từ giao dịch tín chỉ các-bon hình thành từ các chương trình, dự án theo các cơ chế trao đổi, bù trừ tín chỉ các-bon đầu tư từ nguồn vốn của ngân sách Thành phố theo quy định tại khoản 7 Điều 10 Nghị quyết số 136/2024/QH15 và được áp dụng đối với các cơ quan, tổ chức, cá nhân liên quan đến việc quản lý và sử dụng nguồn thu từ giao dịch tín chỉ các-bon hình thành từ các chương trình, dự án theo các cơ chế trao đổi, bù trừ tín chỉ các-bon đầu tư từ nguồn vốn của ngân sách Thành phố. Theo đó, Nghị quyết này không quyết định đối với một vấn đề cụ thể áp dụng đối với một đối tượng cụ thể mà quy định này mang tính bắt buộc chung, áp dụng cho nhiều đối tượng và lặp đi lặp lại nhiều lần trên phạm vi toàn thành phố. Theo đó, </w:t>
            </w:r>
            <w:r w:rsidRPr="00715852">
              <w:rPr>
                <w:rFonts w:ascii="Times New Roman" w:eastAsia="Times New Roman" w:hAnsi="Times New Roman" w:cs="Times New Roman"/>
                <w:b/>
                <w:bCs/>
                <w:noProof/>
                <w:color w:val="000000"/>
                <w:sz w:val="26"/>
                <w:szCs w:val="26"/>
                <w:lang w:val="vi-VN"/>
              </w:rPr>
              <w:t>nội dung dự thảo có đủ yếu tố cấu thành quy phạm pháp luật</w:t>
            </w:r>
            <w:r w:rsidRPr="00715852">
              <w:rPr>
                <w:rFonts w:ascii="Times New Roman" w:eastAsia="Times New Roman" w:hAnsi="Times New Roman" w:cs="Times New Roman"/>
                <w:noProof/>
                <w:color w:val="000000"/>
                <w:sz w:val="26"/>
                <w:szCs w:val="26"/>
                <w:lang w:val="vi-VN"/>
              </w:rPr>
              <w:t xml:space="preserve"> theo quy định tại khoản 1 Điều 3 Luật Ban hành văn bản quy phạm pháp luật năm 2015 “Quy phạm pháp luật là quy tắc xử sự chung, có hiệu lực bắt buộc chung, được áp dụng lặp đi lặp lại nhiều lần đối với cơ quan, tổ chức, cá nhân trong phạm vi cả nước hoặc đơn vị hành chính nhất định, do cơ quan nhà nước, người có </w:t>
            </w:r>
            <w:r w:rsidRPr="00715852">
              <w:rPr>
                <w:rFonts w:ascii="Times New Roman" w:eastAsia="Times New Roman" w:hAnsi="Times New Roman" w:cs="Times New Roman"/>
                <w:noProof/>
                <w:color w:val="000000"/>
                <w:sz w:val="26"/>
                <w:szCs w:val="26"/>
                <w:lang w:val="vi-VN"/>
              </w:rPr>
              <w:lastRenderedPageBreak/>
              <w:t xml:space="preserve">thẩm quyền quy định trong Luật này ban hành và được Nhà nước bảo đảm thực hiện” và </w:t>
            </w:r>
            <w:r w:rsidRPr="00715852">
              <w:rPr>
                <w:rFonts w:ascii="Times New Roman" w:eastAsia="Times New Roman" w:hAnsi="Times New Roman" w:cs="Times New Roman"/>
                <w:b/>
                <w:bCs/>
                <w:noProof/>
                <w:color w:val="000000"/>
                <w:sz w:val="26"/>
                <w:szCs w:val="26"/>
                <w:lang w:val="vi-VN"/>
              </w:rPr>
              <w:t>phải được quy định trong văn bản quy phạm pháp luật</w:t>
            </w:r>
            <w:r w:rsidRPr="00715852">
              <w:rPr>
                <w:rFonts w:ascii="Times New Roman" w:eastAsia="Times New Roman" w:hAnsi="Times New Roman" w:cs="Times New Roman"/>
                <w:noProof/>
                <w:color w:val="000000"/>
                <w:sz w:val="26"/>
                <w:szCs w:val="26"/>
                <w:lang w:val="vi-VN"/>
              </w:rPr>
              <w:t>.</w:t>
            </w:r>
          </w:p>
          <w:p w14:paraId="10C30A5E" w14:textId="55FCC0CE" w:rsidR="00905823" w:rsidRPr="00715852" w:rsidRDefault="00905823" w:rsidP="00DF3999">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t>Đề nghị cơ quan soạn thảo nghiên cứu, đánh giá lại nội dung của dự thảo để xác định hình thức văn bản cho phù hợp, tránh trường hợp tham mưu HĐND thành phố ban hành văn bản hành chính có chứa quy phạm pháp luật. Theo đó, trường hợp tham mưu HĐND thành phố quyết định đối với từng dự án cụ thể thì mới có thể áp dụng hình thức văn bản cá biệt.</w:t>
            </w:r>
          </w:p>
        </w:tc>
        <w:tc>
          <w:tcPr>
            <w:tcW w:w="4491" w:type="dxa"/>
          </w:tcPr>
          <w:p w14:paraId="257161F6" w14:textId="77777777" w:rsidR="00905823" w:rsidRPr="00715852" w:rsidRDefault="00905823" w:rsidP="00DF3999">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lastRenderedPageBreak/>
              <w:t>Tiếp thu ý kiến của cơ quan chuyên môn về xây dựng và kiểm tra văn bản quy phạm pháp luật, Sở NNMT đã trình UBND thành phố hồ sơ gửi HĐND thành phố đăng ký xây dựng Nghị quyết, thực hiện theo xây dựng, ban hành văn bản QPPL của chính quyền địa phương.</w:t>
            </w:r>
          </w:p>
          <w:p w14:paraId="09C7DB7C" w14:textId="77777777" w:rsidR="00905823" w:rsidRPr="00715852" w:rsidRDefault="00905823" w:rsidP="00DF3999">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b/>
                <w:bCs/>
                <w:noProof/>
                <w:color w:val="000000"/>
                <w:sz w:val="26"/>
                <w:szCs w:val="26"/>
                <w:u w:val="single"/>
                <w:lang w:val="vi-VN"/>
              </w:rPr>
              <w:t>Lý do:</w:t>
            </w:r>
            <w:r w:rsidRPr="00715852">
              <w:rPr>
                <w:rFonts w:ascii="Times New Roman" w:eastAsia="Times New Roman" w:hAnsi="Times New Roman" w:cs="Times New Roman"/>
                <w:noProof/>
                <w:color w:val="000000"/>
                <w:sz w:val="26"/>
                <w:szCs w:val="26"/>
                <w:lang w:val="vi-VN"/>
              </w:rPr>
              <w:t xml:space="preserve"> Phạm vi của Nghị quyết này </w:t>
            </w:r>
            <w:r w:rsidRPr="00715852">
              <w:rPr>
                <w:rFonts w:ascii="Times New Roman" w:eastAsia="Times New Roman" w:hAnsi="Times New Roman" w:cs="Times New Roman"/>
                <w:b/>
                <w:bCs/>
                <w:noProof/>
                <w:color w:val="000000"/>
                <w:sz w:val="26"/>
                <w:szCs w:val="26"/>
                <w:lang w:val="vi-VN"/>
              </w:rPr>
              <w:t>áp dụng chung</w:t>
            </w:r>
            <w:r w:rsidRPr="00715852">
              <w:rPr>
                <w:rFonts w:ascii="Times New Roman" w:eastAsia="Times New Roman" w:hAnsi="Times New Roman" w:cs="Times New Roman"/>
                <w:noProof/>
                <w:color w:val="000000"/>
                <w:sz w:val="26"/>
                <w:szCs w:val="26"/>
                <w:lang w:val="vi-VN"/>
              </w:rPr>
              <w:t xml:space="preserve"> cho các chương trình, dự án liên quan đến ứng phó với biến đổi khí hậu, phát triển kinh tế xanh, kinh tế số, kinh tế tuần hoàn trên địa bàn thành phố (chưa có dự án cụ thể).</w:t>
            </w:r>
          </w:p>
        </w:tc>
      </w:tr>
      <w:tr w:rsidR="00905823" w:rsidRPr="00715852" w14:paraId="677175AB" w14:textId="77777777" w:rsidTr="008D3FF1">
        <w:trPr>
          <w:jc w:val="center"/>
        </w:trPr>
        <w:tc>
          <w:tcPr>
            <w:tcW w:w="704" w:type="dxa"/>
            <w:shd w:val="clear" w:color="auto" w:fill="F2F2F2" w:themeFill="background1" w:themeFillShade="F2"/>
          </w:tcPr>
          <w:p w14:paraId="38E4EB92" w14:textId="77777777" w:rsidR="00905823" w:rsidRPr="00715852" w:rsidRDefault="00905823" w:rsidP="00DF3999">
            <w:pPr>
              <w:spacing w:before="60" w:after="60" w:line="240" w:lineRule="auto"/>
              <w:jc w:val="center"/>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2</w:t>
            </w:r>
          </w:p>
        </w:tc>
        <w:tc>
          <w:tcPr>
            <w:tcW w:w="1843" w:type="dxa"/>
            <w:shd w:val="clear" w:color="auto" w:fill="F2F2F2" w:themeFill="background1" w:themeFillShade="F2"/>
          </w:tcPr>
          <w:p w14:paraId="412E05B9" w14:textId="77777777" w:rsidR="00905823" w:rsidRPr="00715852" w:rsidRDefault="00905823" w:rsidP="00DF3999">
            <w:pPr>
              <w:spacing w:before="60" w:after="60" w:line="240" w:lineRule="auto"/>
              <w:jc w:val="both"/>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Sở Nội vụ</w:t>
            </w:r>
          </w:p>
        </w:tc>
        <w:tc>
          <w:tcPr>
            <w:tcW w:w="7087" w:type="dxa"/>
            <w:shd w:val="clear" w:color="auto" w:fill="F2F2F2" w:themeFill="background1" w:themeFillShade="F2"/>
          </w:tcPr>
          <w:p w14:paraId="1D9E6134" w14:textId="63B32C94" w:rsidR="00905823" w:rsidRPr="00715852" w:rsidRDefault="00905823" w:rsidP="00DF3999">
            <w:pPr>
              <w:spacing w:before="60" w:after="60" w:line="240" w:lineRule="auto"/>
              <w:jc w:val="both"/>
              <w:rPr>
                <w:rFonts w:ascii="Times New Roman" w:hAnsi="Times New Roman" w:cs="Times New Roman"/>
                <w:noProof/>
                <w:sz w:val="26"/>
                <w:szCs w:val="26"/>
              </w:rPr>
            </w:pPr>
            <w:r w:rsidRPr="00715852">
              <w:rPr>
                <w:rFonts w:ascii="Times New Roman" w:hAnsi="Times New Roman" w:cs="Times New Roman"/>
                <w:b/>
                <w:bCs/>
                <w:noProof/>
                <w:sz w:val="26"/>
                <w:szCs w:val="26"/>
              </w:rPr>
              <w:t>Công văn số 460/</w:t>
            </w:r>
            <w:r w:rsidRPr="00715852">
              <w:rPr>
                <w:rFonts w:ascii="Times New Roman" w:hAnsi="Times New Roman" w:cs="Times New Roman"/>
                <w:b/>
                <w:bCs/>
                <w:noProof/>
                <w:sz w:val="26"/>
                <w:szCs w:val="26"/>
                <w:lang w:val="vi-VN"/>
              </w:rPr>
              <w:t>SNV-VP</w:t>
            </w:r>
            <w:r w:rsidRPr="00715852">
              <w:rPr>
                <w:rFonts w:ascii="Times New Roman" w:hAnsi="Times New Roman" w:cs="Times New Roman"/>
                <w:b/>
                <w:bCs/>
                <w:noProof/>
                <w:sz w:val="26"/>
                <w:szCs w:val="26"/>
              </w:rPr>
              <w:t xml:space="preserve"> ngày 12/02/2025</w:t>
            </w:r>
          </w:p>
          <w:p w14:paraId="30FEA821" w14:textId="545798D9" w:rsidR="00905823" w:rsidRPr="00715852" w:rsidRDefault="00905823" w:rsidP="00DF3999">
            <w:pPr>
              <w:spacing w:before="60" w:after="60" w:line="240" w:lineRule="auto"/>
              <w:jc w:val="both"/>
              <w:rPr>
                <w:rFonts w:ascii="Times New Roman" w:hAnsi="Times New Roman" w:cs="Times New Roman"/>
                <w:bCs/>
                <w:noProof/>
                <w:sz w:val="26"/>
                <w:szCs w:val="26"/>
              </w:rPr>
            </w:pPr>
            <w:r w:rsidRPr="00715852">
              <w:rPr>
                <w:rFonts w:ascii="Times New Roman" w:hAnsi="Times New Roman" w:cs="Times New Roman"/>
                <w:bCs/>
                <w:noProof/>
                <w:sz w:val="26"/>
                <w:szCs w:val="26"/>
              </w:rPr>
              <w:t>Sở Nội vụ thống nhất với nội dung dự thảo Nghị quyết.</w:t>
            </w:r>
          </w:p>
        </w:tc>
        <w:tc>
          <w:tcPr>
            <w:tcW w:w="4491" w:type="dxa"/>
            <w:shd w:val="clear" w:color="auto" w:fill="F2F2F2" w:themeFill="background1" w:themeFillShade="F2"/>
          </w:tcPr>
          <w:p w14:paraId="3484D879" w14:textId="77777777" w:rsidR="00905823" w:rsidRPr="00715852" w:rsidRDefault="00905823" w:rsidP="00DF3999">
            <w:pPr>
              <w:spacing w:before="60" w:after="60" w:line="240" w:lineRule="auto"/>
              <w:jc w:val="both"/>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Tiếp thu ý kiến của đơn vị.</w:t>
            </w:r>
          </w:p>
        </w:tc>
      </w:tr>
      <w:tr w:rsidR="00905823" w:rsidRPr="00715852" w14:paraId="42CED46C" w14:textId="77777777" w:rsidTr="00DF3999">
        <w:trPr>
          <w:jc w:val="center"/>
        </w:trPr>
        <w:tc>
          <w:tcPr>
            <w:tcW w:w="704" w:type="dxa"/>
          </w:tcPr>
          <w:p w14:paraId="06BC078D" w14:textId="77777777" w:rsidR="00905823" w:rsidRPr="00715852" w:rsidRDefault="00905823" w:rsidP="00DF3999">
            <w:pPr>
              <w:spacing w:before="60" w:after="60" w:line="240" w:lineRule="auto"/>
              <w:jc w:val="center"/>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3</w:t>
            </w:r>
          </w:p>
        </w:tc>
        <w:tc>
          <w:tcPr>
            <w:tcW w:w="1843" w:type="dxa"/>
          </w:tcPr>
          <w:p w14:paraId="767A6B4F" w14:textId="77777777" w:rsidR="00905823" w:rsidRPr="00715852" w:rsidRDefault="00905823" w:rsidP="00DF3999">
            <w:pPr>
              <w:spacing w:before="60" w:after="60" w:line="240" w:lineRule="auto"/>
              <w:jc w:val="both"/>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Sở Tài chính</w:t>
            </w:r>
          </w:p>
        </w:tc>
        <w:tc>
          <w:tcPr>
            <w:tcW w:w="7087" w:type="dxa"/>
          </w:tcPr>
          <w:p w14:paraId="5173B3A7" w14:textId="6BC21BE1" w:rsidR="00905823" w:rsidRPr="00715852" w:rsidRDefault="00905823" w:rsidP="00DF3999">
            <w:pPr>
              <w:spacing w:before="60" w:after="60" w:line="240" w:lineRule="auto"/>
              <w:jc w:val="both"/>
              <w:rPr>
                <w:rFonts w:ascii="Times New Roman" w:hAnsi="Times New Roman" w:cs="Times New Roman"/>
                <w:noProof/>
                <w:sz w:val="26"/>
                <w:szCs w:val="26"/>
              </w:rPr>
            </w:pPr>
            <w:r w:rsidRPr="00715852">
              <w:rPr>
                <w:rFonts w:ascii="Times New Roman" w:hAnsi="Times New Roman" w:cs="Times New Roman"/>
                <w:b/>
                <w:bCs/>
                <w:noProof/>
                <w:sz w:val="26"/>
                <w:szCs w:val="26"/>
              </w:rPr>
              <w:t>Công văn số 548/STC-HCSN ngày 21/02/2025</w:t>
            </w:r>
          </w:p>
          <w:p w14:paraId="5EBFF48B" w14:textId="77777777" w:rsidR="00905823" w:rsidRPr="00715852" w:rsidRDefault="00905823" w:rsidP="00DF3999">
            <w:pPr>
              <w:spacing w:before="60" w:after="60" w:line="240" w:lineRule="auto"/>
              <w:jc w:val="both"/>
              <w:rPr>
                <w:rFonts w:ascii="Times New Roman" w:hAnsi="Times New Roman" w:cs="Times New Roman"/>
                <w:bCs/>
                <w:noProof/>
                <w:sz w:val="26"/>
                <w:szCs w:val="26"/>
              </w:rPr>
            </w:pPr>
            <w:r w:rsidRPr="00715852">
              <w:rPr>
                <w:rFonts w:ascii="Times New Roman" w:hAnsi="Times New Roman" w:cs="Times New Roman"/>
                <w:bCs/>
                <w:noProof/>
                <w:sz w:val="26"/>
                <w:szCs w:val="26"/>
              </w:rPr>
              <w:t>Theo quy định tại Nghị quyết số 136/2024/QH15 thì thẩm quyền của HĐND thành phố trong việc quyết định sử dụng nguồn thu từ giao dịch tín chỉ các-bon cho các chương trình, dự án là thẩm quyền quyết định đối với từng trường hợp chương trình, dự án cụ thể sau khi đã có nguồn thu từ giao dịch tín chỉ các-bon nộp vào ngân sách thành phố.</w:t>
            </w:r>
          </w:p>
        </w:tc>
        <w:tc>
          <w:tcPr>
            <w:tcW w:w="4491" w:type="dxa"/>
          </w:tcPr>
          <w:p w14:paraId="05156166" w14:textId="77777777" w:rsidR="00905823" w:rsidRPr="00715852" w:rsidRDefault="00905823" w:rsidP="00DF3999">
            <w:pPr>
              <w:spacing w:before="60" w:after="60" w:line="240" w:lineRule="auto"/>
              <w:jc w:val="both"/>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lang w:val="vi-VN"/>
              </w:rPr>
              <w:t xml:space="preserve">Phạm vi của Nghị quyết này </w:t>
            </w:r>
            <w:r w:rsidRPr="00715852">
              <w:rPr>
                <w:rFonts w:ascii="Times New Roman" w:eastAsia="Times New Roman" w:hAnsi="Times New Roman" w:cs="Times New Roman"/>
                <w:b/>
                <w:bCs/>
                <w:noProof/>
                <w:color w:val="000000"/>
                <w:sz w:val="26"/>
                <w:szCs w:val="26"/>
                <w:lang w:val="vi-VN"/>
              </w:rPr>
              <w:t>áp dụng chung</w:t>
            </w:r>
            <w:r w:rsidRPr="00715852">
              <w:rPr>
                <w:rFonts w:ascii="Times New Roman" w:eastAsia="Times New Roman" w:hAnsi="Times New Roman" w:cs="Times New Roman"/>
                <w:noProof/>
                <w:color w:val="000000"/>
                <w:sz w:val="26"/>
                <w:szCs w:val="26"/>
                <w:lang w:val="vi-VN"/>
              </w:rPr>
              <w:t xml:space="preserve"> cho các chương trình, dự án liên quan đến ứng phó với biến đổi khí hậu, phát triển kinh tế xanh, kinh tế số, kinh tế tuần hoàn trên địa bàn thành phố</w:t>
            </w:r>
            <w:r w:rsidRPr="00715852">
              <w:rPr>
                <w:rFonts w:ascii="Times New Roman" w:eastAsia="Times New Roman" w:hAnsi="Times New Roman" w:cs="Times New Roman"/>
                <w:noProof/>
                <w:color w:val="000000"/>
                <w:sz w:val="26"/>
                <w:szCs w:val="26"/>
              </w:rPr>
              <w:t>.</w:t>
            </w:r>
          </w:p>
          <w:p w14:paraId="204644EC" w14:textId="77777777" w:rsidR="00905823" w:rsidRPr="00715852" w:rsidRDefault="00905823" w:rsidP="00DF3999">
            <w:pPr>
              <w:spacing w:before="60" w:after="60" w:line="240" w:lineRule="auto"/>
              <w:jc w:val="both"/>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 xml:space="preserve">Sau khi có </w:t>
            </w:r>
            <w:r w:rsidRPr="00715852">
              <w:rPr>
                <w:rFonts w:ascii="Times New Roman" w:hAnsi="Times New Roman" w:cs="Times New Roman"/>
                <w:bCs/>
                <w:noProof/>
                <w:sz w:val="26"/>
                <w:szCs w:val="26"/>
              </w:rPr>
              <w:t>nguồn thu từ giao dịch tín chỉ các-bon nộp vào ngân sách thành phố và xác định chương trình, dự án cụ thể đề xuất sử dụng nguồn thu này, sẽ tham mưu HĐND thành phố quyết định theo hình thức Nghị quyết cá biệt.</w:t>
            </w:r>
          </w:p>
        </w:tc>
      </w:tr>
      <w:tr w:rsidR="00FF53B5" w:rsidRPr="00715852" w14:paraId="52395B1B" w14:textId="77777777" w:rsidTr="008D3FF1">
        <w:trPr>
          <w:jc w:val="center"/>
        </w:trPr>
        <w:tc>
          <w:tcPr>
            <w:tcW w:w="704" w:type="dxa"/>
            <w:shd w:val="clear" w:color="auto" w:fill="F2F2F2" w:themeFill="background1" w:themeFillShade="F2"/>
          </w:tcPr>
          <w:p w14:paraId="089269F0" w14:textId="7438EE1B" w:rsidR="00FF53B5" w:rsidRPr="00715852" w:rsidRDefault="00FF53B5" w:rsidP="00DF3999">
            <w:pPr>
              <w:spacing w:before="60" w:after="60" w:line="240" w:lineRule="auto"/>
              <w:jc w:val="center"/>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4</w:t>
            </w:r>
          </w:p>
        </w:tc>
        <w:tc>
          <w:tcPr>
            <w:tcW w:w="1843" w:type="dxa"/>
            <w:shd w:val="clear" w:color="auto" w:fill="F2F2F2" w:themeFill="background1" w:themeFillShade="F2"/>
          </w:tcPr>
          <w:p w14:paraId="73F6CE63" w14:textId="77777777" w:rsidR="00FF53B5" w:rsidRPr="00715852" w:rsidRDefault="00FF53B5" w:rsidP="00DF3999">
            <w:pPr>
              <w:spacing w:before="60" w:after="60" w:line="240" w:lineRule="auto"/>
              <w:jc w:val="both"/>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Sở Công Thương</w:t>
            </w:r>
          </w:p>
        </w:tc>
        <w:tc>
          <w:tcPr>
            <w:tcW w:w="7087" w:type="dxa"/>
            <w:shd w:val="clear" w:color="auto" w:fill="F2F2F2" w:themeFill="background1" w:themeFillShade="F2"/>
          </w:tcPr>
          <w:p w14:paraId="5E58A0A0" w14:textId="7D68EC2D" w:rsidR="00FF53B5" w:rsidRPr="00715852" w:rsidRDefault="00FF53B5" w:rsidP="00DF3999">
            <w:pPr>
              <w:spacing w:before="60" w:after="60" w:line="240" w:lineRule="auto"/>
              <w:jc w:val="both"/>
              <w:rPr>
                <w:rFonts w:ascii="Times New Roman" w:hAnsi="Times New Roman" w:cs="Times New Roman"/>
                <w:noProof/>
                <w:sz w:val="26"/>
                <w:szCs w:val="26"/>
              </w:rPr>
            </w:pPr>
            <w:r w:rsidRPr="00715852">
              <w:rPr>
                <w:rFonts w:ascii="Times New Roman" w:hAnsi="Times New Roman" w:cs="Times New Roman"/>
                <w:b/>
                <w:bCs/>
                <w:noProof/>
                <w:sz w:val="26"/>
                <w:szCs w:val="26"/>
              </w:rPr>
              <w:t>Công văn số 448/SCT-QLCN ngày 18/02/2025</w:t>
            </w:r>
          </w:p>
          <w:p w14:paraId="0917134A" w14:textId="77777777" w:rsidR="00FF53B5" w:rsidRPr="00715852" w:rsidRDefault="00FF53B5" w:rsidP="00DF3999">
            <w:pPr>
              <w:spacing w:before="60" w:after="60" w:line="240" w:lineRule="auto"/>
              <w:jc w:val="both"/>
              <w:rPr>
                <w:rFonts w:ascii="Times New Roman" w:hAnsi="Times New Roman" w:cs="Times New Roman"/>
                <w:noProof/>
                <w:sz w:val="26"/>
                <w:szCs w:val="26"/>
              </w:rPr>
            </w:pPr>
            <w:r w:rsidRPr="00715852">
              <w:rPr>
                <w:rFonts w:ascii="Times New Roman" w:hAnsi="Times New Roman" w:cs="Times New Roman"/>
                <w:bCs/>
                <w:noProof/>
                <w:sz w:val="26"/>
                <w:szCs w:val="26"/>
              </w:rPr>
              <w:t>Sau khi nghiên cứu, Sở Công Thương thống nhất với nội dung dự thảo.</w:t>
            </w:r>
          </w:p>
        </w:tc>
        <w:tc>
          <w:tcPr>
            <w:tcW w:w="4491" w:type="dxa"/>
            <w:shd w:val="clear" w:color="auto" w:fill="F2F2F2" w:themeFill="background1" w:themeFillShade="F2"/>
          </w:tcPr>
          <w:p w14:paraId="554BA658" w14:textId="77777777" w:rsidR="00FF53B5" w:rsidRPr="00715852" w:rsidRDefault="00FF53B5" w:rsidP="00DF3999">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t>Tiếp thu ý kiến của đơn vị.</w:t>
            </w:r>
          </w:p>
        </w:tc>
      </w:tr>
      <w:tr w:rsidR="00FF53B5" w:rsidRPr="00EB690A" w14:paraId="42F1B5E5" w14:textId="77777777" w:rsidTr="00DF3999">
        <w:trPr>
          <w:jc w:val="center"/>
        </w:trPr>
        <w:tc>
          <w:tcPr>
            <w:tcW w:w="704" w:type="dxa"/>
          </w:tcPr>
          <w:p w14:paraId="7E7403A3" w14:textId="50531726" w:rsidR="00FF53B5" w:rsidRPr="00715852" w:rsidRDefault="00FF53B5" w:rsidP="00DF3999">
            <w:pPr>
              <w:spacing w:before="60" w:after="60" w:line="240" w:lineRule="auto"/>
              <w:jc w:val="center"/>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5</w:t>
            </w:r>
          </w:p>
        </w:tc>
        <w:tc>
          <w:tcPr>
            <w:tcW w:w="1843" w:type="dxa"/>
          </w:tcPr>
          <w:p w14:paraId="43BC6DCA" w14:textId="28321506" w:rsidR="00FF53B5" w:rsidRPr="00715852" w:rsidRDefault="00FF53B5" w:rsidP="00DF3999">
            <w:pPr>
              <w:spacing w:before="60" w:after="60" w:line="240" w:lineRule="auto"/>
              <w:jc w:val="both"/>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Sở Du lịch</w:t>
            </w:r>
          </w:p>
        </w:tc>
        <w:tc>
          <w:tcPr>
            <w:tcW w:w="7087" w:type="dxa"/>
          </w:tcPr>
          <w:p w14:paraId="2ECCB5AD" w14:textId="5FF32CBE" w:rsidR="00FF53B5" w:rsidRPr="00715852" w:rsidRDefault="00FF53B5" w:rsidP="00DF3999">
            <w:pPr>
              <w:spacing w:before="60" w:after="60" w:line="240" w:lineRule="auto"/>
              <w:jc w:val="both"/>
              <w:rPr>
                <w:rFonts w:ascii="Times New Roman" w:hAnsi="Times New Roman" w:cs="Times New Roman"/>
                <w:noProof/>
                <w:sz w:val="26"/>
                <w:szCs w:val="26"/>
                <w:lang w:val="vi-VN"/>
              </w:rPr>
            </w:pPr>
            <w:r w:rsidRPr="00715852">
              <w:rPr>
                <w:rFonts w:ascii="Times New Roman" w:hAnsi="Times New Roman" w:cs="Times New Roman"/>
                <w:b/>
                <w:bCs/>
                <w:noProof/>
                <w:sz w:val="26"/>
                <w:szCs w:val="26"/>
                <w:lang w:val="vi-VN"/>
              </w:rPr>
              <w:t xml:space="preserve">Công văn số </w:t>
            </w:r>
            <w:r w:rsidRPr="00715852">
              <w:rPr>
                <w:rFonts w:ascii="Times New Roman" w:hAnsi="Times New Roman" w:cs="Times New Roman"/>
                <w:b/>
                <w:bCs/>
                <w:noProof/>
                <w:sz w:val="26"/>
                <w:szCs w:val="26"/>
              </w:rPr>
              <w:t>269</w:t>
            </w:r>
            <w:r w:rsidRPr="00715852">
              <w:rPr>
                <w:rFonts w:ascii="Times New Roman" w:hAnsi="Times New Roman" w:cs="Times New Roman"/>
                <w:b/>
                <w:bCs/>
                <w:noProof/>
                <w:sz w:val="26"/>
                <w:szCs w:val="26"/>
                <w:lang w:val="vi-VN"/>
              </w:rPr>
              <w:t xml:space="preserve">/SDL-QLLH ngày </w:t>
            </w:r>
            <w:r w:rsidRPr="00715852">
              <w:rPr>
                <w:rFonts w:ascii="Times New Roman" w:hAnsi="Times New Roman" w:cs="Times New Roman"/>
                <w:b/>
                <w:bCs/>
                <w:noProof/>
                <w:sz w:val="26"/>
                <w:szCs w:val="26"/>
              </w:rPr>
              <w:t>19</w:t>
            </w:r>
            <w:r w:rsidRPr="00715852">
              <w:rPr>
                <w:rFonts w:ascii="Times New Roman" w:hAnsi="Times New Roman" w:cs="Times New Roman"/>
                <w:b/>
                <w:bCs/>
                <w:noProof/>
                <w:sz w:val="26"/>
                <w:szCs w:val="26"/>
                <w:lang w:val="vi-VN"/>
              </w:rPr>
              <w:t>/02/2025</w:t>
            </w:r>
          </w:p>
          <w:p w14:paraId="7E6278C6" w14:textId="77777777" w:rsidR="00FF53B5" w:rsidRPr="00715852" w:rsidRDefault="00FF53B5" w:rsidP="00DF3999">
            <w:pPr>
              <w:spacing w:before="60" w:after="60" w:line="240" w:lineRule="auto"/>
              <w:jc w:val="both"/>
              <w:rPr>
                <w:rFonts w:ascii="Times New Roman" w:hAnsi="Times New Roman" w:cs="Times New Roman"/>
                <w:noProof/>
                <w:sz w:val="26"/>
                <w:szCs w:val="26"/>
                <w:lang w:val="vi-VN"/>
              </w:rPr>
            </w:pPr>
            <w:r w:rsidRPr="00715852">
              <w:rPr>
                <w:rFonts w:ascii="Times New Roman" w:hAnsi="Times New Roman" w:cs="Times New Roman"/>
                <w:noProof/>
                <w:sz w:val="26"/>
                <w:szCs w:val="26"/>
                <w:lang w:val="vi-VN"/>
              </w:rPr>
              <w:lastRenderedPageBreak/>
              <w:t>Sau khi nghiên cứu, Sở Du lịch thống nhất nội dung dự thảo Nghị quyết.</w:t>
            </w:r>
          </w:p>
        </w:tc>
        <w:tc>
          <w:tcPr>
            <w:tcW w:w="4491" w:type="dxa"/>
          </w:tcPr>
          <w:p w14:paraId="22C03659" w14:textId="77777777" w:rsidR="00FF53B5" w:rsidRPr="00715852" w:rsidRDefault="00FF53B5" w:rsidP="00DF3999">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lastRenderedPageBreak/>
              <w:t>Tiếp thu ý kiến của đơn vị.</w:t>
            </w:r>
          </w:p>
        </w:tc>
      </w:tr>
      <w:tr w:rsidR="00FF53B5" w:rsidRPr="00EB690A" w14:paraId="138CB880" w14:textId="77777777" w:rsidTr="008D3FF1">
        <w:trPr>
          <w:jc w:val="center"/>
        </w:trPr>
        <w:tc>
          <w:tcPr>
            <w:tcW w:w="704" w:type="dxa"/>
            <w:shd w:val="clear" w:color="auto" w:fill="F2F2F2" w:themeFill="background1" w:themeFillShade="F2"/>
          </w:tcPr>
          <w:p w14:paraId="4DDBE98F" w14:textId="45D5A16E" w:rsidR="00FF53B5" w:rsidRPr="00715852" w:rsidRDefault="00FF53B5" w:rsidP="00DF3999">
            <w:pPr>
              <w:spacing w:before="60" w:after="60" w:line="240" w:lineRule="auto"/>
              <w:jc w:val="center"/>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6</w:t>
            </w:r>
          </w:p>
        </w:tc>
        <w:tc>
          <w:tcPr>
            <w:tcW w:w="1843" w:type="dxa"/>
            <w:shd w:val="clear" w:color="auto" w:fill="F2F2F2" w:themeFill="background1" w:themeFillShade="F2"/>
          </w:tcPr>
          <w:p w14:paraId="089BE4D9" w14:textId="77777777" w:rsidR="00FF53B5" w:rsidRPr="00715852" w:rsidRDefault="00FF53B5" w:rsidP="00DF3999">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hAnsi="Times New Roman" w:cs="Times New Roman"/>
                <w:noProof/>
                <w:sz w:val="26"/>
                <w:szCs w:val="26"/>
                <w:lang w:val="vi-VN"/>
              </w:rPr>
              <w:t>Sở Giáo dục và Đào tạo</w:t>
            </w:r>
          </w:p>
        </w:tc>
        <w:tc>
          <w:tcPr>
            <w:tcW w:w="7087" w:type="dxa"/>
            <w:shd w:val="clear" w:color="auto" w:fill="F2F2F2" w:themeFill="background1" w:themeFillShade="F2"/>
          </w:tcPr>
          <w:p w14:paraId="5FA720C3" w14:textId="0F0868A4" w:rsidR="00FF53B5" w:rsidRPr="00715852" w:rsidRDefault="00FF53B5" w:rsidP="00DF3999">
            <w:pPr>
              <w:spacing w:before="60" w:after="60" w:line="240" w:lineRule="auto"/>
              <w:jc w:val="both"/>
              <w:rPr>
                <w:rFonts w:ascii="Times New Roman" w:hAnsi="Times New Roman" w:cs="Times New Roman"/>
                <w:b/>
                <w:bCs/>
                <w:noProof/>
                <w:sz w:val="26"/>
                <w:szCs w:val="26"/>
                <w:lang w:val="vi-VN"/>
              </w:rPr>
            </w:pPr>
            <w:r w:rsidRPr="00715852">
              <w:rPr>
                <w:rFonts w:ascii="Times New Roman" w:hAnsi="Times New Roman" w:cs="Times New Roman"/>
                <w:b/>
                <w:bCs/>
                <w:noProof/>
                <w:sz w:val="26"/>
                <w:szCs w:val="26"/>
                <w:lang w:val="vi-VN"/>
              </w:rPr>
              <w:t>Công văn số 345/SGDĐT-KHTC ngày 13/02/2025</w:t>
            </w:r>
          </w:p>
          <w:p w14:paraId="29A0C111" w14:textId="77777777" w:rsidR="00FF53B5" w:rsidRPr="00715852" w:rsidRDefault="00FF53B5" w:rsidP="00DF3999">
            <w:pPr>
              <w:spacing w:before="60" w:after="60" w:line="240" w:lineRule="auto"/>
              <w:jc w:val="both"/>
              <w:rPr>
                <w:rFonts w:ascii="Times New Roman" w:hAnsi="Times New Roman" w:cs="Times New Roman"/>
                <w:noProof/>
                <w:sz w:val="26"/>
                <w:szCs w:val="26"/>
                <w:lang w:val="vi-VN"/>
              </w:rPr>
            </w:pPr>
            <w:r w:rsidRPr="00715852">
              <w:rPr>
                <w:rFonts w:ascii="Times New Roman" w:hAnsi="Times New Roman" w:cs="Times New Roman"/>
                <w:noProof/>
                <w:sz w:val="26"/>
                <w:szCs w:val="26"/>
                <w:lang w:val="vi-VN"/>
              </w:rPr>
              <w:t>Qua nghiên cứu dự thảo gửi kèm văn bản nêu trên, Sở Giáo dục và Đào tạo không có ý kiến khác.</w:t>
            </w:r>
          </w:p>
        </w:tc>
        <w:tc>
          <w:tcPr>
            <w:tcW w:w="4491" w:type="dxa"/>
            <w:shd w:val="clear" w:color="auto" w:fill="F2F2F2" w:themeFill="background1" w:themeFillShade="F2"/>
          </w:tcPr>
          <w:p w14:paraId="171B760E" w14:textId="77777777" w:rsidR="00FF53B5" w:rsidRPr="00715852" w:rsidRDefault="00FF53B5" w:rsidP="00DF3999">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t>Tiếp thu ý kiến của đơn vị.</w:t>
            </w:r>
          </w:p>
        </w:tc>
      </w:tr>
      <w:tr w:rsidR="00FF53B5" w:rsidRPr="00EB690A" w14:paraId="29084D0A" w14:textId="77777777" w:rsidTr="00DF3999">
        <w:trPr>
          <w:jc w:val="center"/>
        </w:trPr>
        <w:tc>
          <w:tcPr>
            <w:tcW w:w="704" w:type="dxa"/>
          </w:tcPr>
          <w:p w14:paraId="188ECFEF" w14:textId="7A773ABD" w:rsidR="00FF53B5" w:rsidRPr="00715852" w:rsidRDefault="00FF53B5" w:rsidP="00DF3999">
            <w:pPr>
              <w:spacing w:before="60" w:after="60" w:line="240" w:lineRule="auto"/>
              <w:jc w:val="center"/>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7</w:t>
            </w:r>
          </w:p>
        </w:tc>
        <w:tc>
          <w:tcPr>
            <w:tcW w:w="1843" w:type="dxa"/>
          </w:tcPr>
          <w:p w14:paraId="39CBB79A" w14:textId="2A29B37A" w:rsidR="00FF53B5" w:rsidRPr="00715852" w:rsidRDefault="00FF53B5" w:rsidP="00DF3999">
            <w:pPr>
              <w:spacing w:before="60" w:after="60" w:line="240" w:lineRule="auto"/>
              <w:jc w:val="both"/>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 xml:space="preserve">Sở </w:t>
            </w:r>
            <w:r w:rsidRPr="00715852">
              <w:rPr>
                <w:rFonts w:ascii="Times New Roman" w:hAnsi="Times New Roman" w:cs="Times New Roman"/>
                <w:noProof/>
                <w:sz w:val="26"/>
                <w:szCs w:val="26"/>
                <w:lang w:val="vi-VN"/>
              </w:rPr>
              <w:t>Giao thông vận tải</w:t>
            </w:r>
          </w:p>
        </w:tc>
        <w:tc>
          <w:tcPr>
            <w:tcW w:w="7087" w:type="dxa"/>
          </w:tcPr>
          <w:p w14:paraId="574F5620" w14:textId="50A31978" w:rsidR="00FF53B5" w:rsidRPr="00715852" w:rsidRDefault="00FF53B5" w:rsidP="00DF3999">
            <w:pPr>
              <w:spacing w:before="60" w:after="60" w:line="240" w:lineRule="auto"/>
              <w:jc w:val="both"/>
              <w:rPr>
                <w:rFonts w:ascii="Times New Roman" w:hAnsi="Times New Roman" w:cs="Times New Roman"/>
                <w:b/>
                <w:bCs/>
                <w:noProof/>
                <w:sz w:val="26"/>
                <w:szCs w:val="26"/>
                <w:lang w:val="vi-VN"/>
              </w:rPr>
            </w:pPr>
            <w:r w:rsidRPr="00715852">
              <w:rPr>
                <w:rFonts w:ascii="Times New Roman" w:hAnsi="Times New Roman" w:cs="Times New Roman"/>
                <w:b/>
                <w:bCs/>
                <w:noProof/>
                <w:sz w:val="26"/>
                <w:szCs w:val="26"/>
                <w:lang w:val="vi-VN"/>
              </w:rPr>
              <w:t>Công văn số 739/SGTVT-QLKCHT ngày 18/02/2025</w:t>
            </w:r>
          </w:p>
          <w:p w14:paraId="19A7F8E5" w14:textId="77777777" w:rsidR="00FF53B5" w:rsidRPr="00715852" w:rsidRDefault="00FF53B5" w:rsidP="00DF3999">
            <w:pPr>
              <w:spacing w:before="60" w:after="60" w:line="240" w:lineRule="auto"/>
              <w:jc w:val="both"/>
              <w:rPr>
                <w:rFonts w:ascii="Times New Roman" w:hAnsi="Times New Roman" w:cs="Times New Roman"/>
                <w:noProof/>
                <w:sz w:val="26"/>
                <w:szCs w:val="26"/>
                <w:lang w:val="vi-VN"/>
              </w:rPr>
            </w:pPr>
            <w:r w:rsidRPr="00715852">
              <w:rPr>
                <w:rFonts w:ascii="Times New Roman" w:hAnsi="Times New Roman" w:cs="Times New Roman"/>
                <w:noProof/>
                <w:sz w:val="26"/>
                <w:szCs w:val="26"/>
                <w:lang w:val="vi-VN"/>
              </w:rPr>
              <w:t>Qua kiểm tra, Sở Giao thông vận tải cơ bản thống nhất đối với dự thảo Nghị quyết của HĐND thành phố về sử dụng nguồn thu từ giao dịch tín chỉ các-bon cho các chương trình, dự án ứng phó với biến đổi khí hậu, phát triển kinh tế xanh, kinh tế số, kinh tế tuần hoàn kèm theo Công văn số 713/ STNMT-CCBĐMT của Sở Tài nguyên và Môi trường.</w:t>
            </w:r>
          </w:p>
        </w:tc>
        <w:tc>
          <w:tcPr>
            <w:tcW w:w="4491" w:type="dxa"/>
          </w:tcPr>
          <w:p w14:paraId="5C0438EA" w14:textId="77777777" w:rsidR="00FF53B5" w:rsidRPr="00715852" w:rsidRDefault="00FF53B5" w:rsidP="00DF3999">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t>Tiếp thu ý kiến của đơn vị.</w:t>
            </w:r>
          </w:p>
        </w:tc>
      </w:tr>
      <w:tr w:rsidR="00FF53B5" w:rsidRPr="00EB690A" w14:paraId="6DB4F471" w14:textId="77777777" w:rsidTr="008D3FF1">
        <w:trPr>
          <w:jc w:val="center"/>
        </w:trPr>
        <w:tc>
          <w:tcPr>
            <w:tcW w:w="704" w:type="dxa"/>
            <w:shd w:val="clear" w:color="auto" w:fill="F2F2F2" w:themeFill="background1" w:themeFillShade="F2"/>
          </w:tcPr>
          <w:p w14:paraId="3E803EEA" w14:textId="0BBA876B" w:rsidR="00FF53B5" w:rsidRPr="00715852" w:rsidRDefault="00FF53B5" w:rsidP="00DF3999">
            <w:pPr>
              <w:spacing w:before="60" w:after="60" w:line="240" w:lineRule="auto"/>
              <w:jc w:val="center"/>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8</w:t>
            </w:r>
          </w:p>
        </w:tc>
        <w:tc>
          <w:tcPr>
            <w:tcW w:w="1843" w:type="dxa"/>
            <w:shd w:val="clear" w:color="auto" w:fill="F2F2F2" w:themeFill="background1" w:themeFillShade="F2"/>
          </w:tcPr>
          <w:p w14:paraId="58FA7F62" w14:textId="1608EB40" w:rsidR="00FF53B5" w:rsidRPr="00715852" w:rsidRDefault="00FF53B5" w:rsidP="00DF3999">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hAnsi="Times New Roman" w:cs="Times New Roman"/>
                <w:noProof/>
                <w:sz w:val="26"/>
                <w:szCs w:val="26"/>
              </w:rPr>
              <w:t>Sở Kế hoạch và Đầu tư</w:t>
            </w:r>
          </w:p>
        </w:tc>
        <w:tc>
          <w:tcPr>
            <w:tcW w:w="7087" w:type="dxa"/>
            <w:shd w:val="clear" w:color="auto" w:fill="F2F2F2" w:themeFill="background1" w:themeFillShade="F2"/>
          </w:tcPr>
          <w:p w14:paraId="1CF5AD6B" w14:textId="1C14EBC9" w:rsidR="00FF53B5" w:rsidRPr="00715852" w:rsidRDefault="00FF53B5" w:rsidP="00DF3999">
            <w:pPr>
              <w:spacing w:before="60" w:after="60" w:line="240" w:lineRule="auto"/>
              <w:jc w:val="both"/>
              <w:rPr>
                <w:rFonts w:ascii="Times New Roman" w:hAnsi="Times New Roman" w:cs="Times New Roman"/>
                <w:b/>
                <w:bCs/>
                <w:noProof/>
                <w:sz w:val="26"/>
                <w:szCs w:val="26"/>
                <w:lang w:val="vi-VN"/>
              </w:rPr>
            </w:pPr>
            <w:r w:rsidRPr="00715852">
              <w:rPr>
                <w:rFonts w:ascii="Times New Roman" w:hAnsi="Times New Roman" w:cs="Times New Roman"/>
                <w:b/>
                <w:bCs/>
                <w:noProof/>
                <w:sz w:val="26"/>
                <w:szCs w:val="26"/>
                <w:lang w:val="vi-VN"/>
              </w:rPr>
              <w:t>Công văn số 513/SKHĐT-KTN ngày 21/02/2025</w:t>
            </w:r>
          </w:p>
          <w:p w14:paraId="180A9B0B" w14:textId="77777777" w:rsidR="00FF53B5" w:rsidRPr="00715852" w:rsidRDefault="00FF53B5" w:rsidP="00DF3999">
            <w:pPr>
              <w:spacing w:before="60" w:after="60" w:line="240" w:lineRule="auto"/>
              <w:jc w:val="both"/>
              <w:rPr>
                <w:rFonts w:ascii="Times New Roman" w:hAnsi="Times New Roman" w:cs="Times New Roman"/>
                <w:noProof/>
                <w:sz w:val="26"/>
                <w:szCs w:val="26"/>
                <w:lang w:val="vi-VN"/>
              </w:rPr>
            </w:pPr>
            <w:r w:rsidRPr="00715852">
              <w:rPr>
                <w:rFonts w:ascii="Times New Roman" w:hAnsi="Times New Roman" w:cs="Times New Roman"/>
                <w:noProof/>
                <w:sz w:val="26"/>
                <w:szCs w:val="26"/>
                <w:lang w:val="vi-VN"/>
              </w:rPr>
              <w:t>Sở Kế hoạch và Đầu tư cơ bản thống nhất với nội dung dự thảo Nghị quyết; trường hợp có vướng mắc đề nghị Sở Tài nguyên và Môi trường báo cáo cấp có thẩm quyền xem xét, quyết định.</w:t>
            </w:r>
          </w:p>
        </w:tc>
        <w:tc>
          <w:tcPr>
            <w:tcW w:w="4491" w:type="dxa"/>
            <w:shd w:val="clear" w:color="auto" w:fill="F2F2F2" w:themeFill="background1" w:themeFillShade="F2"/>
          </w:tcPr>
          <w:p w14:paraId="69EABF2C" w14:textId="77777777" w:rsidR="00FF53B5" w:rsidRPr="00715852" w:rsidRDefault="00FF53B5" w:rsidP="00DF3999">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t>Tiếp thu ý kiến của đơn vị.</w:t>
            </w:r>
          </w:p>
        </w:tc>
      </w:tr>
      <w:tr w:rsidR="00FF53B5" w:rsidRPr="00715852" w14:paraId="693DE1E7" w14:textId="77777777" w:rsidTr="00DF3999">
        <w:trPr>
          <w:jc w:val="center"/>
        </w:trPr>
        <w:tc>
          <w:tcPr>
            <w:tcW w:w="704" w:type="dxa"/>
          </w:tcPr>
          <w:p w14:paraId="52127DBF" w14:textId="5AB72857" w:rsidR="00FF53B5" w:rsidRPr="00715852" w:rsidRDefault="00FF53B5" w:rsidP="00DF3999">
            <w:pPr>
              <w:spacing w:before="60" w:after="60" w:line="240" w:lineRule="auto"/>
              <w:jc w:val="center"/>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9</w:t>
            </w:r>
          </w:p>
        </w:tc>
        <w:tc>
          <w:tcPr>
            <w:tcW w:w="1843" w:type="dxa"/>
          </w:tcPr>
          <w:p w14:paraId="2A6EFB67" w14:textId="77777777" w:rsidR="00FF53B5" w:rsidRPr="00715852" w:rsidRDefault="00FF53B5" w:rsidP="00DF3999">
            <w:pPr>
              <w:spacing w:before="60" w:after="60" w:line="240" w:lineRule="auto"/>
              <w:jc w:val="both"/>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Sở Ngoại vụ</w:t>
            </w:r>
          </w:p>
        </w:tc>
        <w:tc>
          <w:tcPr>
            <w:tcW w:w="7087" w:type="dxa"/>
          </w:tcPr>
          <w:p w14:paraId="7EAF7149" w14:textId="69A633AA" w:rsidR="00FF53B5" w:rsidRPr="00715852" w:rsidRDefault="00FF53B5" w:rsidP="00DF3999">
            <w:pPr>
              <w:spacing w:before="60" w:after="60" w:line="240" w:lineRule="auto"/>
              <w:jc w:val="both"/>
              <w:rPr>
                <w:rFonts w:ascii="Times New Roman" w:hAnsi="Times New Roman" w:cs="Times New Roman"/>
                <w:noProof/>
                <w:sz w:val="26"/>
                <w:szCs w:val="26"/>
              </w:rPr>
            </w:pPr>
            <w:r w:rsidRPr="00715852">
              <w:rPr>
                <w:rFonts w:ascii="Times New Roman" w:hAnsi="Times New Roman" w:cs="Times New Roman"/>
                <w:b/>
                <w:bCs/>
                <w:noProof/>
                <w:sz w:val="26"/>
                <w:szCs w:val="26"/>
                <w:lang w:val="vi-VN"/>
              </w:rPr>
              <w:t>Công văn số</w:t>
            </w:r>
            <w:r w:rsidRPr="00715852">
              <w:rPr>
                <w:rFonts w:ascii="Times New Roman" w:hAnsi="Times New Roman" w:cs="Times New Roman"/>
                <w:b/>
                <w:bCs/>
                <w:noProof/>
                <w:sz w:val="26"/>
                <w:szCs w:val="26"/>
              </w:rPr>
              <w:t xml:space="preserve"> 321/SNG-HTQT ngày 19/02/2025</w:t>
            </w:r>
          </w:p>
          <w:p w14:paraId="2B99F9AD" w14:textId="77777777" w:rsidR="00FF53B5" w:rsidRPr="00715852" w:rsidRDefault="00FF53B5" w:rsidP="00DF3999">
            <w:pPr>
              <w:spacing w:before="60" w:after="60" w:line="240" w:lineRule="auto"/>
              <w:jc w:val="both"/>
              <w:rPr>
                <w:rFonts w:ascii="Times New Roman" w:hAnsi="Times New Roman" w:cs="Times New Roman"/>
                <w:noProof/>
                <w:sz w:val="26"/>
                <w:szCs w:val="26"/>
              </w:rPr>
            </w:pPr>
            <w:r w:rsidRPr="00715852">
              <w:rPr>
                <w:rFonts w:ascii="Times New Roman" w:hAnsi="Times New Roman" w:cs="Times New Roman"/>
                <w:noProof/>
                <w:sz w:val="26"/>
                <w:szCs w:val="26"/>
              </w:rPr>
              <w:t>Sở Ngoại vụ thống nhất với nội dung dự thảo.</w:t>
            </w:r>
          </w:p>
        </w:tc>
        <w:tc>
          <w:tcPr>
            <w:tcW w:w="4491" w:type="dxa"/>
          </w:tcPr>
          <w:p w14:paraId="4D0C3AF0" w14:textId="77777777" w:rsidR="00FF53B5" w:rsidRPr="00715852" w:rsidRDefault="00FF53B5" w:rsidP="00DF3999">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t>Tiếp thu ý kiến của đơn vị.</w:t>
            </w:r>
          </w:p>
        </w:tc>
      </w:tr>
      <w:tr w:rsidR="00FF53B5" w:rsidRPr="00EB690A" w14:paraId="0BBFA19E" w14:textId="77777777" w:rsidTr="008D3FF1">
        <w:trPr>
          <w:jc w:val="center"/>
        </w:trPr>
        <w:tc>
          <w:tcPr>
            <w:tcW w:w="704" w:type="dxa"/>
            <w:shd w:val="clear" w:color="auto" w:fill="F2F2F2" w:themeFill="background1" w:themeFillShade="F2"/>
          </w:tcPr>
          <w:p w14:paraId="06103729" w14:textId="19A6F6E2" w:rsidR="00FF53B5" w:rsidRPr="00715852" w:rsidRDefault="00FF53B5" w:rsidP="00DF3999">
            <w:pPr>
              <w:spacing w:before="60" w:after="60" w:line="240" w:lineRule="auto"/>
              <w:jc w:val="center"/>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10</w:t>
            </w:r>
          </w:p>
        </w:tc>
        <w:tc>
          <w:tcPr>
            <w:tcW w:w="1843" w:type="dxa"/>
            <w:shd w:val="clear" w:color="auto" w:fill="F2F2F2" w:themeFill="background1" w:themeFillShade="F2"/>
          </w:tcPr>
          <w:p w14:paraId="3720C403" w14:textId="7A2FE58E" w:rsidR="00FF53B5" w:rsidRPr="00715852" w:rsidRDefault="00FF53B5" w:rsidP="00DF3999">
            <w:pPr>
              <w:spacing w:before="60" w:after="60" w:line="240" w:lineRule="auto"/>
              <w:jc w:val="both"/>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Sở Thông tin và Truyền thông</w:t>
            </w:r>
          </w:p>
        </w:tc>
        <w:tc>
          <w:tcPr>
            <w:tcW w:w="7087" w:type="dxa"/>
            <w:shd w:val="clear" w:color="auto" w:fill="F2F2F2" w:themeFill="background1" w:themeFillShade="F2"/>
          </w:tcPr>
          <w:p w14:paraId="7F0C6FB1" w14:textId="2819030F" w:rsidR="00FF53B5" w:rsidRPr="00715852" w:rsidRDefault="00FF53B5" w:rsidP="00DF3999">
            <w:pPr>
              <w:spacing w:before="60" w:after="60" w:line="240" w:lineRule="auto"/>
              <w:jc w:val="both"/>
              <w:rPr>
                <w:rFonts w:ascii="Times New Roman" w:hAnsi="Times New Roman" w:cs="Times New Roman"/>
                <w:noProof/>
                <w:sz w:val="26"/>
                <w:szCs w:val="26"/>
                <w:lang w:val="vi-VN"/>
              </w:rPr>
            </w:pPr>
            <w:r w:rsidRPr="00715852">
              <w:rPr>
                <w:rFonts w:ascii="Times New Roman" w:hAnsi="Times New Roman" w:cs="Times New Roman"/>
                <w:b/>
                <w:bCs/>
                <w:noProof/>
                <w:sz w:val="26"/>
                <w:szCs w:val="26"/>
                <w:lang w:val="vi-VN"/>
              </w:rPr>
              <w:t>Công văn số 401/STTTT-VP ngày 28/02/2025</w:t>
            </w:r>
          </w:p>
          <w:p w14:paraId="1B25D9E1" w14:textId="77777777" w:rsidR="00FF53B5" w:rsidRPr="00715852" w:rsidRDefault="00FF53B5" w:rsidP="00DF3999">
            <w:pPr>
              <w:spacing w:before="60" w:after="60" w:line="240" w:lineRule="auto"/>
              <w:jc w:val="both"/>
              <w:rPr>
                <w:rFonts w:ascii="Times New Roman" w:hAnsi="Times New Roman" w:cs="Times New Roman"/>
                <w:noProof/>
                <w:sz w:val="26"/>
                <w:szCs w:val="26"/>
                <w:lang w:val="vi-VN"/>
              </w:rPr>
            </w:pPr>
            <w:r w:rsidRPr="00715852">
              <w:rPr>
                <w:rFonts w:ascii="Times New Roman" w:hAnsi="Times New Roman" w:cs="Times New Roman"/>
                <w:noProof/>
                <w:sz w:val="26"/>
                <w:szCs w:val="26"/>
                <w:lang w:val="vi-VN"/>
              </w:rPr>
              <w:t>Đề nghị điều chỉnh lại tên cơ quan ban hành văn bản “ỦY BAN NHÂN DÂN THÀNH PHỐ ĐÀ NẴNG” thành “HỘI ĐỒNG NHÂN DÂN THÀNH PHỐ ĐÀ NẴNG”.</w:t>
            </w:r>
          </w:p>
        </w:tc>
        <w:tc>
          <w:tcPr>
            <w:tcW w:w="4491" w:type="dxa"/>
            <w:shd w:val="clear" w:color="auto" w:fill="F2F2F2" w:themeFill="background1" w:themeFillShade="F2"/>
          </w:tcPr>
          <w:p w14:paraId="16245AE4" w14:textId="77777777" w:rsidR="00FF53B5" w:rsidRPr="00715852" w:rsidRDefault="00FF53B5" w:rsidP="00DF3999">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t>Đã chỉnh sửa theo góp ý của đơn vị.</w:t>
            </w:r>
          </w:p>
        </w:tc>
      </w:tr>
      <w:tr w:rsidR="00FF53B5" w:rsidRPr="00EB690A" w14:paraId="2706E38B" w14:textId="77777777" w:rsidTr="00DF3999">
        <w:trPr>
          <w:jc w:val="center"/>
        </w:trPr>
        <w:tc>
          <w:tcPr>
            <w:tcW w:w="704" w:type="dxa"/>
          </w:tcPr>
          <w:p w14:paraId="51A7D422" w14:textId="5AC3BED6" w:rsidR="00FF53B5" w:rsidRPr="00715852" w:rsidRDefault="00FF53B5" w:rsidP="00DF3999">
            <w:pPr>
              <w:spacing w:before="60" w:after="60" w:line="240" w:lineRule="auto"/>
              <w:jc w:val="center"/>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11</w:t>
            </w:r>
          </w:p>
        </w:tc>
        <w:tc>
          <w:tcPr>
            <w:tcW w:w="1843" w:type="dxa"/>
          </w:tcPr>
          <w:p w14:paraId="2E81FCDC" w14:textId="77777777" w:rsidR="00FF53B5" w:rsidRPr="00715852" w:rsidRDefault="00FF53B5" w:rsidP="00DF3999">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hAnsi="Times New Roman" w:cs="Times New Roman"/>
                <w:noProof/>
                <w:sz w:val="26"/>
                <w:szCs w:val="26"/>
                <w:lang w:val="vi-VN"/>
              </w:rPr>
              <w:t>Sở Y tế</w:t>
            </w:r>
          </w:p>
        </w:tc>
        <w:tc>
          <w:tcPr>
            <w:tcW w:w="7087" w:type="dxa"/>
          </w:tcPr>
          <w:p w14:paraId="4BCE5BF6" w14:textId="62972B6B" w:rsidR="00FF53B5" w:rsidRPr="00715852" w:rsidRDefault="00FF53B5" w:rsidP="00DF3999">
            <w:pPr>
              <w:spacing w:before="60" w:after="60" w:line="240" w:lineRule="auto"/>
              <w:jc w:val="both"/>
              <w:rPr>
                <w:rFonts w:ascii="Times New Roman" w:hAnsi="Times New Roman" w:cs="Times New Roman"/>
                <w:noProof/>
                <w:sz w:val="26"/>
                <w:szCs w:val="26"/>
                <w:lang w:val="vi-VN"/>
              </w:rPr>
            </w:pPr>
            <w:r w:rsidRPr="00715852">
              <w:rPr>
                <w:rFonts w:ascii="Times New Roman" w:hAnsi="Times New Roman" w:cs="Times New Roman"/>
                <w:b/>
                <w:bCs/>
                <w:noProof/>
                <w:sz w:val="26"/>
                <w:szCs w:val="26"/>
                <w:lang w:val="vi-VN"/>
              </w:rPr>
              <w:t>Công văn số 1072/SYT-NVY ngày 26/02/2025</w:t>
            </w:r>
          </w:p>
          <w:p w14:paraId="46AAD69E" w14:textId="77777777" w:rsidR="00FF53B5" w:rsidRPr="00715852" w:rsidRDefault="00FF53B5" w:rsidP="00DF3999">
            <w:pPr>
              <w:spacing w:before="60" w:after="60" w:line="240" w:lineRule="auto"/>
              <w:jc w:val="both"/>
              <w:rPr>
                <w:rFonts w:ascii="Times New Roman" w:hAnsi="Times New Roman" w:cs="Times New Roman"/>
                <w:noProof/>
                <w:sz w:val="26"/>
                <w:szCs w:val="26"/>
                <w:lang w:val="vi-VN"/>
              </w:rPr>
            </w:pPr>
            <w:r w:rsidRPr="00715852">
              <w:rPr>
                <w:rFonts w:ascii="Times New Roman" w:hAnsi="Times New Roman" w:cs="Times New Roman"/>
                <w:noProof/>
                <w:sz w:val="26"/>
                <w:szCs w:val="26"/>
                <w:lang w:val="vi-VN"/>
              </w:rPr>
              <w:t xml:space="preserve">Sau khi nghiên cứu Nghị quyết của HĐND thành phố nêu trên, Sở Y tế có ý kiến như sau: Thống nhất nội dung dự thảo Nghị quyết </w:t>
            </w:r>
            <w:r w:rsidRPr="00715852">
              <w:rPr>
                <w:rFonts w:ascii="Times New Roman" w:hAnsi="Times New Roman" w:cs="Times New Roman"/>
                <w:noProof/>
                <w:sz w:val="26"/>
                <w:szCs w:val="26"/>
                <w:lang w:val="vi-VN"/>
              </w:rPr>
              <w:lastRenderedPageBreak/>
              <w:t>của HĐND thành phố về sử dụng nguồn thu từ giao dịch tín chỉ các-bon cho các chương trình, dự án ứng phó với biến đổi khí hậu, phát triển kinh tế xanh, kinh tế số, kinh tế tuần hoàn do Sở Tài nguyên và Môi trường chủ trì tham mưu.</w:t>
            </w:r>
          </w:p>
        </w:tc>
        <w:tc>
          <w:tcPr>
            <w:tcW w:w="4491" w:type="dxa"/>
          </w:tcPr>
          <w:p w14:paraId="22F8349B" w14:textId="77777777" w:rsidR="00FF53B5" w:rsidRPr="00715852" w:rsidRDefault="00FF53B5" w:rsidP="00DF3999">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lastRenderedPageBreak/>
              <w:t>Tiếp thu ý kiến của đơn vị.</w:t>
            </w:r>
          </w:p>
        </w:tc>
      </w:tr>
      <w:tr w:rsidR="00FF53B5" w:rsidRPr="00EB690A" w14:paraId="2193B97C" w14:textId="77777777" w:rsidTr="008D3FF1">
        <w:trPr>
          <w:jc w:val="center"/>
        </w:trPr>
        <w:tc>
          <w:tcPr>
            <w:tcW w:w="704" w:type="dxa"/>
            <w:shd w:val="clear" w:color="auto" w:fill="F2F2F2" w:themeFill="background1" w:themeFillShade="F2"/>
          </w:tcPr>
          <w:p w14:paraId="4E541F0A" w14:textId="2F078A65" w:rsidR="00FF53B5" w:rsidRPr="00715852" w:rsidRDefault="00FF53B5" w:rsidP="00DF3999">
            <w:pPr>
              <w:spacing w:before="60" w:after="60" w:line="240" w:lineRule="auto"/>
              <w:jc w:val="center"/>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12</w:t>
            </w:r>
          </w:p>
        </w:tc>
        <w:tc>
          <w:tcPr>
            <w:tcW w:w="1843" w:type="dxa"/>
            <w:shd w:val="clear" w:color="auto" w:fill="F2F2F2" w:themeFill="background1" w:themeFillShade="F2"/>
          </w:tcPr>
          <w:p w14:paraId="0C37B0C8" w14:textId="77777777" w:rsidR="00FF53B5" w:rsidRPr="00715852" w:rsidRDefault="00FF53B5" w:rsidP="00DF3999">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t>UBND quận Liên Chiểu</w:t>
            </w:r>
          </w:p>
        </w:tc>
        <w:tc>
          <w:tcPr>
            <w:tcW w:w="7087" w:type="dxa"/>
            <w:shd w:val="clear" w:color="auto" w:fill="F2F2F2" w:themeFill="background1" w:themeFillShade="F2"/>
          </w:tcPr>
          <w:p w14:paraId="4F859C95" w14:textId="5C6980F6" w:rsidR="00FF53B5" w:rsidRPr="00715852" w:rsidRDefault="00FF53B5" w:rsidP="00DF3999">
            <w:pPr>
              <w:spacing w:before="60" w:after="60" w:line="240" w:lineRule="auto"/>
              <w:jc w:val="both"/>
              <w:rPr>
                <w:rFonts w:ascii="Times New Roman" w:hAnsi="Times New Roman" w:cs="Times New Roman"/>
                <w:noProof/>
                <w:sz w:val="26"/>
                <w:szCs w:val="26"/>
                <w:lang w:val="vi-VN"/>
              </w:rPr>
            </w:pPr>
            <w:r w:rsidRPr="00715852">
              <w:rPr>
                <w:rFonts w:ascii="Times New Roman" w:hAnsi="Times New Roman" w:cs="Times New Roman"/>
                <w:b/>
                <w:bCs/>
                <w:noProof/>
                <w:sz w:val="26"/>
                <w:szCs w:val="26"/>
                <w:lang w:val="vi-VN"/>
              </w:rPr>
              <w:t>Công văn số</w:t>
            </w:r>
            <w:r w:rsidRPr="00715852">
              <w:rPr>
                <w:rFonts w:ascii="Times New Roman" w:hAnsi="Times New Roman" w:cs="Times New Roman"/>
                <w:b/>
                <w:bCs/>
                <w:sz w:val="26"/>
                <w:szCs w:val="26"/>
                <w:lang w:val="vi-VN"/>
              </w:rPr>
              <w:t xml:space="preserve"> 594/</w:t>
            </w:r>
            <w:r w:rsidRPr="00715852">
              <w:rPr>
                <w:rFonts w:ascii="Times New Roman" w:hAnsi="Times New Roman" w:cs="Times New Roman"/>
                <w:b/>
                <w:bCs/>
                <w:noProof/>
                <w:sz w:val="26"/>
                <w:szCs w:val="26"/>
                <w:lang w:val="vi-VN"/>
              </w:rPr>
              <w:t>UBND-TNMT ngày 19/02/2025</w:t>
            </w:r>
          </w:p>
          <w:p w14:paraId="53D4D53F" w14:textId="77777777" w:rsidR="00FF53B5" w:rsidRPr="00715852" w:rsidRDefault="00FF53B5" w:rsidP="00DF3999">
            <w:pPr>
              <w:spacing w:before="60" w:after="60" w:line="240" w:lineRule="auto"/>
              <w:jc w:val="both"/>
              <w:rPr>
                <w:rFonts w:ascii="Times New Roman" w:hAnsi="Times New Roman" w:cs="Times New Roman"/>
                <w:noProof/>
                <w:sz w:val="26"/>
                <w:szCs w:val="26"/>
                <w:lang w:val="vi-VN"/>
              </w:rPr>
            </w:pPr>
            <w:r w:rsidRPr="00715852">
              <w:rPr>
                <w:rFonts w:ascii="Times New Roman" w:hAnsi="Times New Roman" w:cs="Times New Roman"/>
                <w:noProof/>
                <w:sz w:val="26"/>
                <w:szCs w:val="26"/>
                <w:lang w:val="vi-VN"/>
              </w:rPr>
              <w:t>Thống nhất nội dung dự thảo Nghị quyết của HĐND thành phố về sử dụng nguồn thu từ giao dịch tín chỉ các-bon cho các chương trình, dự án ứng phó với biến đổi khí hậu, phát triển kinh tế xanh, kinh tế số, kinh tế tuần hoàn trên địa bàn thành phố.</w:t>
            </w:r>
          </w:p>
        </w:tc>
        <w:tc>
          <w:tcPr>
            <w:tcW w:w="4491" w:type="dxa"/>
            <w:shd w:val="clear" w:color="auto" w:fill="F2F2F2" w:themeFill="background1" w:themeFillShade="F2"/>
          </w:tcPr>
          <w:p w14:paraId="2705B8EA" w14:textId="77777777" w:rsidR="00FF53B5" w:rsidRPr="00715852" w:rsidRDefault="00FF53B5" w:rsidP="00DF3999">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t>Tiếp thu ý kiến của đơn vị.</w:t>
            </w:r>
          </w:p>
        </w:tc>
      </w:tr>
      <w:tr w:rsidR="00FF53B5" w:rsidRPr="00EB690A" w14:paraId="0F2C8C22" w14:textId="77777777" w:rsidTr="00DF3999">
        <w:trPr>
          <w:jc w:val="center"/>
        </w:trPr>
        <w:tc>
          <w:tcPr>
            <w:tcW w:w="704" w:type="dxa"/>
          </w:tcPr>
          <w:p w14:paraId="3B3F80AC" w14:textId="0F89B8B2" w:rsidR="00FF53B5" w:rsidRPr="00715852" w:rsidRDefault="00FF53B5" w:rsidP="00DF3999">
            <w:pPr>
              <w:spacing w:before="60" w:after="60" w:line="240" w:lineRule="auto"/>
              <w:jc w:val="center"/>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13</w:t>
            </w:r>
          </w:p>
        </w:tc>
        <w:tc>
          <w:tcPr>
            <w:tcW w:w="1843" w:type="dxa"/>
          </w:tcPr>
          <w:p w14:paraId="0E3809EC" w14:textId="77777777" w:rsidR="00FF53B5" w:rsidRPr="00715852" w:rsidRDefault="00FF53B5" w:rsidP="00DF3999">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t>UBND quận Ngũ Hành Sơn</w:t>
            </w:r>
          </w:p>
        </w:tc>
        <w:tc>
          <w:tcPr>
            <w:tcW w:w="7087" w:type="dxa"/>
          </w:tcPr>
          <w:p w14:paraId="16E1687F" w14:textId="56853615" w:rsidR="00FF53B5" w:rsidRPr="00715852" w:rsidRDefault="00FF53B5" w:rsidP="00DF3999">
            <w:pPr>
              <w:spacing w:before="60" w:after="60" w:line="240" w:lineRule="auto"/>
              <w:jc w:val="both"/>
              <w:rPr>
                <w:rFonts w:ascii="Times New Roman" w:hAnsi="Times New Roman" w:cs="Times New Roman"/>
                <w:noProof/>
                <w:sz w:val="26"/>
                <w:szCs w:val="26"/>
                <w:lang w:val="vi-VN"/>
              </w:rPr>
            </w:pPr>
            <w:r w:rsidRPr="00715852">
              <w:rPr>
                <w:rFonts w:ascii="Times New Roman" w:hAnsi="Times New Roman" w:cs="Times New Roman"/>
                <w:b/>
                <w:bCs/>
                <w:noProof/>
                <w:sz w:val="26"/>
                <w:szCs w:val="26"/>
                <w:lang w:val="vi-VN"/>
              </w:rPr>
              <w:t>Công văn số 385/UBND-PTNMT ngày 13/02/2025</w:t>
            </w:r>
          </w:p>
          <w:p w14:paraId="607287BB" w14:textId="77777777" w:rsidR="00FF53B5" w:rsidRPr="00715852" w:rsidRDefault="00FF53B5" w:rsidP="00DF3999">
            <w:pPr>
              <w:spacing w:before="60" w:after="60" w:line="240" w:lineRule="auto"/>
              <w:jc w:val="both"/>
              <w:rPr>
                <w:rFonts w:ascii="Times New Roman" w:hAnsi="Times New Roman" w:cs="Times New Roman"/>
                <w:noProof/>
                <w:sz w:val="26"/>
                <w:szCs w:val="26"/>
                <w:lang w:val="vi-VN"/>
              </w:rPr>
            </w:pPr>
            <w:r w:rsidRPr="00715852">
              <w:rPr>
                <w:rFonts w:ascii="Times New Roman" w:hAnsi="Times New Roman" w:cs="Times New Roman"/>
                <w:noProof/>
                <w:sz w:val="26"/>
                <w:szCs w:val="26"/>
                <w:lang w:val="vi-VN"/>
              </w:rPr>
              <w:t>Thống nhất nội dung dự thảo Nghị quyết của HĐND thành phố về sử dụng nguồn thu từ giao dịch tín chỉ các-bon cho các chương trình, dự án ứng phó với biến đổi khí hậu, phát triển kinh tế xanh, kinh tế số, kinh tế tuần hoàn trên địa bàn thành phố.</w:t>
            </w:r>
          </w:p>
        </w:tc>
        <w:tc>
          <w:tcPr>
            <w:tcW w:w="4491" w:type="dxa"/>
          </w:tcPr>
          <w:p w14:paraId="24CE0899" w14:textId="77777777" w:rsidR="00FF53B5" w:rsidRPr="00715852" w:rsidRDefault="00FF53B5" w:rsidP="00DF3999">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t>Tiếp thu ý kiến của đơn vị.</w:t>
            </w:r>
          </w:p>
        </w:tc>
      </w:tr>
      <w:tr w:rsidR="00FF53B5" w:rsidRPr="00EB690A" w14:paraId="35A6610B" w14:textId="77777777" w:rsidTr="008D3FF1">
        <w:trPr>
          <w:jc w:val="center"/>
        </w:trPr>
        <w:tc>
          <w:tcPr>
            <w:tcW w:w="704" w:type="dxa"/>
            <w:shd w:val="clear" w:color="auto" w:fill="F2F2F2" w:themeFill="background1" w:themeFillShade="F2"/>
          </w:tcPr>
          <w:p w14:paraId="3B08B0D2" w14:textId="76AE04DD" w:rsidR="00FF53B5" w:rsidRPr="00715852" w:rsidRDefault="00FF53B5" w:rsidP="00DF3999">
            <w:pPr>
              <w:spacing w:before="60" w:after="60" w:line="240" w:lineRule="auto"/>
              <w:jc w:val="center"/>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14</w:t>
            </w:r>
          </w:p>
        </w:tc>
        <w:tc>
          <w:tcPr>
            <w:tcW w:w="1843" w:type="dxa"/>
            <w:shd w:val="clear" w:color="auto" w:fill="F2F2F2" w:themeFill="background1" w:themeFillShade="F2"/>
          </w:tcPr>
          <w:p w14:paraId="5774322B" w14:textId="77777777" w:rsidR="00FF53B5" w:rsidRPr="00715852" w:rsidRDefault="00FF53B5" w:rsidP="00DF3999">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t>UBND quận Sơn Trà</w:t>
            </w:r>
          </w:p>
        </w:tc>
        <w:tc>
          <w:tcPr>
            <w:tcW w:w="7087" w:type="dxa"/>
            <w:shd w:val="clear" w:color="auto" w:fill="F2F2F2" w:themeFill="background1" w:themeFillShade="F2"/>
          </w:tcPr>
          <w:p w14:paraId="1FB57935" w14:textId="4F789FDD" w:rsidR="00FF53B5" w:rsidRPr="00715852" w:rsidRDefault="00FF53B5" w:rsidP="00DF3999">
            <w:pPr>
              <w:spacing w:before="60" w:after="60" w:line="240" w:lineRule="auto"/>
              <w:jc w:val="both"/>
              <w:rPr>
                <w:rFonts w:ascii="Times New Roman" w:hAnsi="Times New Roman" w:cs="Times New Roman"/>
                <w:noProof/>
                <w:sz w:val="26"/>
                <w:szCs w:val="26"/>
                <w:lang w:val="vi-VN"/>
              </w:rPr>
            </w:pPr>
            <w:r w:rsidRPr="00715852">
              <w:rPr>
                <w:rFonts w:ascii="Times New Roman" w:hAnsi="Times New Roman" w:cs="Times New Roman"/>
                <w:b/>
                <w:bCs/>
                <w:noProof/>
                <w:sz w:val="26"/>
                <w:szCs w:val="26"/>
                <w:lang w:val="vi-VN"/>
              </w:rPr>
              <w:t>Công văn số 485/UBND-TNMT</w:t>
            </w:r>
          </w:p>
          <w:p w14:paraId="0FF7BB13" w14:textId="77777777" w:rsidR="00FF53B5" w:rsidRPr="00715852" w:rsidRDefault="00FF53B5" w:rsidP="00DF3999">
            <w:pPr>
              <w:spacing w:before="60" w:after="60" w:line="240" w:lineRule="auto"/>
              <w:jc w:val="both"/>
              <w:rPr>
                <w:rFonts w:ascii="Times New Roman" w:hAnsi="Times New Roman" w:cs="Times New Roman"/>
                <w:noProof/>
                <w:sz w:val="26"/>
                <w:szCs w:val="26"/>
                <w:lang w:val="vi-VN"/>
              </w:rPr>
            </w:pPr>
            <w:r w:rsidRPr="00715852">
              <w:rPr>
                <w:rFonts w:ascii="Times New Roman" w:hAnsi="Times New Roman" w:cs="Times New Roman"/>
                <w:noProof/>
                <w:sz w:val="26"/>
                <w:szCs w:val="26"/>
                <w:lang w:val="vi-VN"/>
              </w:rPr>
              <w:t>Thống nhất dự thảo Nghị quyết về sử dụng nguồn thu từ giao dịch tín chỉ các-bon cho các chương trình, dự án ứng phó với biến đổi khí hậu, phát triển kinh tế xanh, kinh tế số, kinh tế tuần hoàn trên địa bàn thành phố kèm theo tại Công văn số 713/STNMT-CCBĐMT.</w:t>
            </w:r>
          </w:p>
        </w:tc>
        <w:tc>
          <w:tcPr>
            <w:tcW w:w="4491" w:type="dxa"/>
            <w:shd w:val="clear" w:color="auto" w:fill="F2F2F2" w:themeFill="background1" w:themeFillShade="F2"/>
          </w:tcPr>
          <w:p w14:paraId="2DD0930F" w14:textId="77777777" w:rsidR="00FF53B5" w:rsidRPr="00715852" w:rsidRDefault="00FF53B5" w:rsidP="00DF3999">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t>Tiếp thu ý kiến của đơn vị.</w:t>
            </w:r>
          </w:p>
        </w:tc>
      </w:tr>
      <w:tr w:rsidR="00FF53B5" w:rsidRPr="00EB690A" w14:paraId="413D18F4" w14:textId="77777777" w:rsidTr="00DF3999">
        <w:trPr>
          <w:jc w:val="center"/>
        </w:trPr>
        <w:tc>
          <w:tcPr>
            <w:tcW w:w="704" w:type="dxa"/>
          </w:tcPr>
          <w:p w14:paraId="4AE5BE7C" w14:textId="7337E1C7" w:rsidR="00FF53B5" w:rsidRPr="00715852" w:rsidRDefault="00FF53B5" w:rsidP="00DF3999">
            <w:pPr>
              <w:spacing w:before="60" w:after="60" w:line="240" w:lineRule="auto"/>
              <w:jc w:val="center"/>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15</w:t>
            </w:r>
          </w:p>
        </w:tc>
        <w:tc>
          <w:tcPr>
            <w:tcW w:w="1843" w:type="dxa"/>
          </w:tcPr>
          <w:p w14:paraId="6AC96C91" w14:textId="77777777" w:rsidR="00FF53B5" w:rsidRPr="00715852" w:rsidRDefault="00FF53B5" w:rsidP="00DF3999">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t>Viện Nghiên cứu phát triển kinh tế - xã hội Đà Nẵng</w:t>
            </w:r>
          </w:p>
        </w:tc>
        <w:tc>
          <w:tcPr>
            <w:tcW w:w="7087" w:type="dxa"/>
          </w:tcPr>
          <w:p w14:paraId="4C56E87E" w14:textId="6199D220" w:rsidR="00FF53B5" w:rsidRPr="00715852" w:rsidRDefault="00FF53B5" w:rsidP="00DF3999">
            <w:pPr>
              <w:spacing w:before="60" w:after="60" w:line="240" w:lineRule="auto"/>
              <w:jc w:val="both"/>
              <w:rPr>
                <w:rFonts w:ascii="Times New Roman" w:hAnsi="Times New Roman" w:cs="Times New Roman"/>
                <w:noProof/>
                <w:sz w:val="26"/>
                <w:szCs w:val="26"/>
                <w:lang w:val="vi-VN"/>
              </w:rPr>
            </w:pPr>
            <w:r w:rsidRPr="00715852">
              <w:rPr>
                <w:rFonts w:ascii="Times New Roman" w:hAnsi="Times New Roman" w:cs="Times New Roman"/>
                <w:b/>
                <w:bCs/>
                <w:noProof/>
                <w:sz w:val="26"/>
                <w:szCs w:val="26"/>
                <w:lang w:val="vi-VN"/>
              </w:rPr>
              <w:t>Công văn số 80/VKTXH-XHMTĐT ngày 13/02/2025</w:t>
            </w:r>
          </w:p>
          <w:p w14:paraId="3D220051" w14:textId="77777777" w:rsidR="00FF53B5" w:rsidRPr="00715852" w:rsidRDefault="00FF53B5" w:rsidP="00DF3999">
            <w:pPr>
              <w:spacing w:before="60" w:after="60" w:line="240" w:lineRule="auto"/>
              <w:jc w:val="both"/>
              <w:rPr>
                <w:rFonts w:ascii="Times New Roman" w:hAnsi="Times New Roman" w:cs="Times New Roman"/>
                <w:noProof/>
                <w:sz w:val="26"/>
                <w:szCs w:val="26"/>
                <w:lang w:val="vi-VN"/>
              </w:rPr>
            </w:pPr>
            <w:r w:rsidRPr="00715852">
              <w:rPr>
                <w:rFonts w:ascii="Times New Roman" w:hAnsi="Times New Roman" w:cs="Times New Roman"/>
                <w:noProof/>
                <w:sz w:val="26"/>
                <w:szCs w:val="26"/>
                <w:lang w:val="vi-VN"/>
              </w:rPr>
              <w:t>Tại mục d, khoản 2, điều 2 của dự thảo Nghị quyết, đề nghị bổ sung, sửa đổi như sau: “Nghiên cứu và ứng dụng các mô hình kinh tế tuần hoàn, kinh tế xanh và kinh tế số”.</w:t>
            </w:r>
          </w:p>
        </w:tc>
        <w:tc>
          <w:tcPr>
            <w:tcW w:w="4491" w:type="dxa"/>
          </w:tcPr>
          <w:p w14:paraId="5C72F565" w14:textId="77777777" w:rsidR="00FF53B5" w:rsidRPr="00715852" w:rsidRDefault="00FF53B5" w:rsidP="00DF3999">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t>Đã chỉnh sửa theo góp ý của đơn vị.</w:t>
            </w:r>
          </w:p>
        </w:tc>
      </w:tr>
    </w:tbl>
    <w:p w14:paraId="1590EE32" w14:textId="16FBB6E9" w:rsidR="00FF53B5" w:rsidRPr="00715852" w:rsidRDefault="002A300D" w:rsidP="002A300D">
      <w:pPr>
        <w:shd w:val="clear" w:color="auto" w:fill="FFFFFF"/>
        <w:spacing w:before="120" w:after="120" w:line="240" w:lineRule="auto"/>
        <w:ind w:firstLine="720"/>
        <w:jc w:val="both"/>
        <w:rPr>
          <w:rStyle w:val="fontstyle01"/>
          <w:rFonts w:ascii="Times New Roman" w:hAnsi="Times New Roman" w:cs="Times New Roman"/>
          <w:noProof/>
          <w:lang w:val="vi-VN"/>
        </w:rPr>
      </w:pPr>
      <w:r w:rsidRPr="00715852">
        <w:rPr>
          <w:rStyle w:val="fontstyle01"/>
          <w:rFonts w:ascii="Times New Roman" w:hAnsi="Times New Roman" w:cs="Times New Roman"/>
          <w:b/>
          <w:bCs/>
          <w:i/>
          <w:iCs/>
          <w:noProof/>
          <w:lang w:val="vi-VN"/>
        </w:rPr>
        <w:lastRenderedPageBreak/>
        <w:t>Các đơn vị không có văn bản phản hồi:</w:t>
      </w:r>
      <w:r w:rsidRPr="00715852">
        <w:rPr>
          <w:rStyle w:val="fontstyle01"/>
          <w:rFonts w:ascii="Times New Roman" w:hAnsi="Times New Roman" w:cs="Times New Roman"/>
          <w:noProof/>
          <w:lang w:val="vi-VN"/>
        </w:rPr>
        <w:t xml:space="preserve"> Sở Xây dựng, Sở Khoa học và Công nghệ, </w:t>
      </w:r>
      <w:r w:rsidR="003B2F1C" w:rsidRPr="00715852">
        <w:rPr>
          <w:rStyle w:val="fontstyle01"/>
          <w:rFonts w:ascii="Times New Roman" w:hAnsi="Times New Roman" w:cs="Times New Roman"/>
          <w:noProof/>
          <w:lang w:val="vi-VN"/>
        </w:rPr>
        <w:t>Sở Văn hóa và Thể thao, Sở Lao động - Thương binh và Xã hội, Sở Nông nghiệp và Phát triển nông thôn, UBND quận Hải Châu, UBND quận Thanh Khê, UBND quận Liên Chiểu, UBND huyện Hòa Vang, UBND huyện Hoàng Sa</w:t>
      </w:r>
      <w:r w:rsidR="00AB39FF" w:rsidRPr="00715852">
        <w:rPr>
          <w:rStyle w:val="fontstyle01"/>
          <w:rFonts w:ascii="Times New Roman" w:hAnsi="Times New Roman" w:cs="Times New Roman"/>
          <w:noProof/>
          <w:lang w:val="vi-VN"/>
        </w:rPr>
        <w:t>.</w:t>
      </w:r>
    </w:p>
    <w:p w14:paraId="4B4E5BA6" w14:textId="5296410B" w:rsidR="00C65C57" w:rsidRPr="00715852" w:rsidRDefault="00C65C57" w:rsidP="00C65C57">
      <w:pPr>
        <w:shd w:val="clear" w:color="auto" w:fill="FFFFFF"/>
        <w:spacing w:before="120" w:after="120" w:line="240" w:lineRule="auto"/>
        <w:ind w:firstLine="720"/>
        <w:jc w:val="both"/>
        <w:rPr>
          <w:rFonts w:ascii="Times New Roman" w:eastAsia="Times New Roman" w:hAnsi="Times New Roman" w:cs="Times New Roman"/>
          <w:b/>
          <w:bCs/>
          <w:noProof/>
          <w:color w:val="000000"/>
          <w:sz w:val="28"/>
          <w:szCs w:val="28"/>
          <w:lang w:val="vi-VN"/>
        </w:rPr>
      </w:pPr>
      <w:r w:rsidRPr="00715852">
        <w:rPr>
          <w:rFonts w:ascii="Times New Roman" w:eastAsia="Times New Roman" w:hAnsi="Times New Roman" w:cs="Times New Roman"/>
          <w:b/>
          <w:bCs/>
          <w:noProof/>
          <w:color w:val="000000"/>
          <w:sz w:val="28"/>
          <w:szCs w:val="28"/>
          <w:lang w:val="vi-VN"/>
        </w:rPr>
        <w:t>2. Góp ý theo đề nghị lần 2 tại các văn bản: Công văn số 366/SNNMT-CCMT, Công văn số 367/SNNMT-CCMT, Công văn số 368/SNNMT-CCMT ngày 16/7/2025, Công văn số 954/SNNMT-CCMT ngày 31/7/2025</w:t>
      </w:r>
    </w:p>
    <w:tbl>
      <w:tblPr>
        <w:tblStyle w:val="TableGrid"/>
        <w:tblW w:w="14125" w:type="dxa"/>
        <w:jc w:val="center"/>
        <w:tblLayout w:type="fixed"/>
        <w:tblLook w:val="04A0" w:firstRow="1" w:lastRow="0" w:firstColumn="1" w:lastColumn="0" w:noHBand="0" w:noVBand="1"/>
      </w:tblPr>
      <w:tblGrid>
        <w:gridCol w:w="704"/>
        <w:gridCol w:w="1843"/>
        <w:gridCol w:w="6804"/>
        <w:gridCol w:w="4774"/>
      </w:tblGrid>
      <w:tr w:rsidR="00C65C57" w:rsidRPr="00715852" w14:paraId="6A43B39F" w14:textId="77777777" w:rsidTr="008D3FF1">
        <w:trPr>
          <w:tblHeader/>
          <w:jc w:val="center"/>
        </w:trPr>
        <w:tc>
          <w:tcPr>
            <w:tcW w:w="704" w:type="dxa"/>
          </w:tcPr>
          <w:p w14:paraId="473D58E5" w14:textId="77777777" w:rsidR="00C65C57" w:rsidRPr="00715852" w:rsidRDefault="00C65C57" w:rsidP="00715852">
            <w:pPr>
              <w:spacing w:before="60" w:after="60" w:line="240" w:lineRule="auto"/>
              <w:jc w:val="center"/>
              <w:rPr>
                <w:rFonts w:ascii="Times New Roman" w:eastAsia="Times New Roman" w:hAnsi="Times New Roman" w:cs="Times New Roman"/>
                <w:b/>
                <w:bCs/>
                <w:noProof/>
                <w:color w:val="000000"/>
                <w:sz w:val="26"/>
                <w:szCs w:val="26"/>
                <w:lang w:val="vi-VN"/>
              </w:rPr>
            </w:pPr>
            <w:r w:rsidRPr="00715852">
              <w:rPr>
                <w:rFonts w:ascii="Times New Roman" w:eastAsia="Times New Roman" w:hAnsi="Times New Roman" w:cs="Times New Roman"/>
                <w:b/>
                <w:bCs/>
                <w:noProof/>
                <w:color w:val="000000"/>
                <w:sz w:val="26"/>
                <w:szCs w:val="26"/>
                <w:lang w:val="vi-VN"/>
              </w:rPr>
              <w:t>TT</w:t>
            </w:r>
          </w:p>
        </w:tc>
        <w:tc>
          <w:tcPr>
            <w:tcW w:w="1843" w:type="dxa"/>
          </w:tcPr>
          <w:p w14:paraId="17881492" w14:textId="77777777" w:rsidR="00C65C57" w:rsidRPr="00715852" w:rsidRDefault="00C65C57" w:rsidP="00715852">
            <w:pPr>
              <w:spacing w:before="60" w:after="60" w:line="240" w:lineRule="auto"/>
              <w:jc w:val="center"/>
              <w:rPr>
                <w:rFonts w:ascii="Times New Roman" w:eastAsia="Times New Roman" w:hAnsi="Times New Roman" w:cs="Times New Roman"/>
                <w:b/>
                <w:bCs/>
                <w:noProof/>
                <w:color w:val="000000"/>
                <w:sz w:val="26"/>
                <w:szCs w:val="26"/>
                <w:lang w:val="vi-VN"/>
              </w:rPr>
            </w:pPr>
            <w:r w:rsidRPr="00715852">
              <w:rPr>
                <w:rFonts w:ascii="Times New Roman" w:eastAsia="Times New Roman" w:hAnsi="Times New Roman" w:cs="Times New Roman"/>
                <w:b/>
                <w:bCs/>
                <w:noProof/>
                <w:color w:val="000000"/>
                <w:sz w:val="26"/>
                <w:szCs w:val="26"/>
                <w:lang w:val="vi-VN"/>
              </w:rPr>
              <w:t>CƠ QUAN, ĐƠN VỊ</w:t>
            </w:r>
          </w:p>
        </w:tc>
        <w:tc>
          <w:tcPr>
            <w:tcW w:w="6804" w:type="dxa"/>
          </w:tcPr>
          <w:p w14:paraId="5A89F489" w14:textId="77777777" w:rsidR="00C65C57" w:rsidRPr="00715852" w:rsidRDefault="00C65C57" w:rsidP="00715852">
            <w:pPr>
              <w:spacing w:before="60" w:after="60" w:line="240" w:lineRule="auto"/>
              <w:jc w:val="center"/>
              <w:rPr>
                <w:rFonts w:ascii="Times New Roman" w:eastAsia="Times New Roman" w:hAnsi="Times New Roman" w:cs="Times New Roman"/>
                <w:b/>
                <w:bCs/>
                <w:noProof/>
                <w:color w:val="000000"/>
                <w:sz w:val="26"/>
                <w:szCs w:val="26"/>
                <w:lang w:val="vi-VN"/>
              </w:rPr>
            </w:pPr>
            <w:r w:rsidRPr="00715852">
              <w:rPr>
                <w:rFonts w:ascii="Times New Roman" w:eastAsia="Times New Roman" w:hAnsi="Times New Roman" w:cs="Times New Roman"/>
                <w:b/>
                <w:bCs/>
                <w:noProof/>
                <w:color w:val="000000"/>
                <w:sz w:val="26"/>
                <w:szCs w:val="26"/>
                <w:lang w:val="vi-VN"/>
              </w:rPr>
              <w:t>NỘI DUNG GÓP Ý</w:t>
            </w:r>
          </w:p>
        </w:tc>
        <w:tc>
          <w:tcPr>
            <w:tcW w:w="4774" w:type="dxa"/>
          </w:tcPr>
          <w:p w14:paraId="79772141" w14:textId="77777777" w:rsidR="00C65C57" w:rsidRPr="00715852" w:rsidRDefault="00C65C57" w:rsidP="00715852">
            <w:pPr>
              <w:spacing w:before="60" w:after="60" w:line="240" w:lineRule="auto"/>
              <w:jc w:val="center"/>
              <w:rPr>
                <w:rFonts w:ascii="Times New Roman" w:eastAsia="Times New Roman" w:hAnsi="Times New Roman" w:cs="Times New Roman"/>
                <w:b/>
                <w:bCs/>
                <w:noProof/>
                <w:color w:val="000000"/>
                <w:sz w:val="26"/>
                <w:szCs w:val="26"/>
                <w:lang w:val="vi-VN"/>
              </w:rPr>
            </w:pPr>
            <w:r w:rsidRPr="00715852">
              <w:rPr>
                <w:rFonts w:ascii="Times New Roman" w:eastAsia="Times New Roman" w:hAnsi="Times New Roman" w:cs="Times New Roman"/>
                <w:b/>
                <w:bCs/>
                <w:noProof/>
                <w:color w:val="000000"/>
                <w:sz w:val="26"/>
                <w:szCs w:val="26"/>
                <w:lang w:val="vi-VN"/>
              </w:rPr>
              <w:t>NỘI DUNG TIẾP THU, GIẢI TRÌNH</w:t>
            </w:r>
          </w:p>
        </w:tc>
      </w:tr>
      <w:tr w:rsidR="00C65C57" w:rsidRPr="00EB690A" w14:paraId="07EE848F" w14:textId="77777777" w:rsidTr="008D3FF1">
        <w:trPr>
          <w:jc w:val="center"/>
        </w:trPr>
        <w:tc>
          <w:tcPr>
            <w:tcW w:w="704" w:type="dxa"/>
            <w:tcBorders>
              <w:bottom w:val="single" w:sz="4" w:space="0" w:color="auto"/>
            </w:tcBorders>
          </w:tcPr>
          <w:p w14:paraId="56BE78F3" w14:textId="4A05FA6E" w:rsidR="00C65C57" w:rsidRPr="00715852" w:rsidRDefault="00C65C57" w:rsidP="00715852">
            <w:pPr>
              <w:spacing w:before="60" w:after="60" w:line="240" w:lineRule="auto"/>
              <w:jc w:val="center"/>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1</w:t>
            </w:r>
          </w:p>
        </w:tc>
        <w:tc>
          <w:tcPr>
            <w:tcW w:w="1843" w:type="dxa"/>
            <w:tcBorders>
              <w:bottom w:val="single" w:sz="4" w:space="0" w:color="auto"/>
            </w:tcBorders>
          </w:tcPr>
          <w:p w14:paraId="6432D60C" w14:textId="33787C33" w:rsidR="00C65C57" w:rsidRPr="00715852" w:rsidRDefault="00C65C57" w:rsidP="00715852">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rPr>
              <w:t>Sở Tài chính</w:t>
            </w:r>
          </w:p>
        </w:tc>
        <w:tc>
          <w:tcPr>
            <w:tcW w:w="6804" w:type="dxa"/>
            <w:tcBorders>
              <w:bottom w:val="single" w:sz="4" w:space="0" w:color="auto"/>
            </w:tcBorders>
          </w:tcPr>
          <w:p w14:paraId="0D4A670D" w14:textId="691C034B" w:rsidR="00C65C57" w:rsidRPr="00715852" w:rsidRDefault="00C65C57" w:rsidP="00715852">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hAnsi="Times New Roman" w:cs="Times New Roman"/>
                <w:b/>
                <w:bCs/>
                <w:noProof/>
                <w:sz w:val="26"/>
                <w:szCs w:val="26"/>
                <w:lang w:val="vi-VN"/>
              </w:rPr>
              <w:t>Công văn số 962/STC-HCSN ngày 30/7/2025</w:t>
            </w:r>
          </w:p>
          <w:p w14:paraId="7A600548" w14:textId="77777777" w:rsidR="00C65C57" w:rsidRPr="00715852" w:rsidRDefault="00C65C57" w:rsidP="00715852">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t>- Về nội dung sử dụng nguồn thu từ giao dịch tín chỉ các-bon: Thuộc lĩnh vực chuyên ngành của Sở NNMT, phù hợp với tiết c, khoản 7, điều 10 Nghị quyết số 136/2024/NQ-QH15 của Quốc hội nên Sở Tài chính không có ý kiến tham gia.</w:t>
            </w:r>
          </w:p>
          <w:p w14:paraId="2E45F061" w14:textId="72B736D9" w:rsidR="00C65C57" w:rsidRPr="00715852" w:rsidRDefault="00C65C57" w:rsidP="00715852">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t>- Về hạch toán điều tiết thu ngân sách nhà nước: Sở Tài chính đề nghị Sở NNMT lấy ý kiến của Kho bạc Nhà nước khu vực XIII, tránh phát sinh vướng mắc khi triển khai thực hiện.</w:t>
            </w:r>
          </w:p>
        </w:tc>
        <w:tc>
          <w:tcPr>
            <w:tcW w:w="4774" w:type="dxa"/>
            <w:tcBorders>
              <w:bottom w:val="single" w:sz="4" w:space="0" w:color="auto"/>
            </w:tcBorders>
          </w:tcPr>
          <w:p w14:paraId="4C23793A" w14:textId="77777777" w:rsidR="00C65C57" w:rsidRPr="00715852" w:rsidRDefault="00C65C57" w:rsidP="00715852">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t>Tiếp thu ý kiến của Sở Tài chính, Sở NNMT đã có Công văn số 954/SNNMT-CCMT ngày 31/7/2025 gửi lấy ý kiến Kho bạc Nhà nước khu vực XIII.</w:t>
            </w:r>
          </w:p>
        </w:tc>
      </w:tr>
      <w:tr w:rsidR="007A1DC7" w:rsidRPr="00715852" w14:paraId="65D89172" w14:textId="77777777" w:rsidTr="008D3FF1">
        <w:trPr>
          <w:jc w:val="center"/>
        </w:trPr>
        <w:tc>
          <w:tcPr>
            <w:tcW w:w="704" w:type="dxa"/>
            <w:tcBorders>
              <w:bottom w:val="nil"/>
            </w:tcBorders>
            <w:shd w:val="clear" w:color="auto" w:fill="F2F2F2" w:themeFill="background1" w:themeFillShade="F2"/>
          </w:tcPr>
          <w:p w14:paraId="43628AA5" w14:textId="7F573E6D" w:rsidR="007A1DC7" w:rsidRPr="00715852" w:rsidRDefault="00E05C69" w:rsidP="00715852">
            <w:pPr>
              <w:spacing w:before="60" w:after="60" w:line="240" w:lineRule="auto"/>
              <w:jc w:val="center"/>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2</w:t>
            </w:r>
          </w:p>
        </w:tc>
        <w:tc>
          <w:tcPr>
            <w:tcW w:w="1843" w:type="dxa"/>
            <w:tcBorders>
              <w:bottom w:val="nil"/>
            </w:tcBorders>
            <w:shd w:val="clear" w:color="auto" w:fill="F2F2F2" w:themeFill="background1" w:themeFillShade="F2"/>
          </w:tcPr>
          <w:p w14:paraId="366DBEFF" w14:textId="1F603458" w:rsidR="007A1DC7" w:rsidRPr="00715852" w:rsidRDefault="00E05C69" w:rsidP="00715852">
            <w:pPr>
              <w:spacing w:before="60" w:after="60" w:line="240" w:lineRule="auto"/>
              <w:jc w:val="both"/>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Sở Tư pháp</w:t>
            </w:r>
          </w:p>
        </w:tc>
        <w:tc>
          <w:tcPr>
            <w:tcW w:w="6804" w:type="dxa"/>
            <w:tcBorders>
              <w:bottom w:val="nil"/>
            </w:tcBorders>
            <w:shd w:val="clear" w:color="auto" w:fill="F2F2F2" w:themeFill="background1" w:themeFillShade="F2"/>
          </w:tcPr>
          <w:p w14:paraId="309CAF48" w14:textId="29EBE187" w:rsidR="00E05C69" w:rsidRPr="00715852" w:rsidRDefault="00E05C69" w:rsidP="00715852">
            <w:pPr>
              <w:spacing w:before="60" w:after="60" w:line="240" w:lineRule="auto"/>
              <w:jc w:val="both"/>
              <w:rPr>
                <w:rFonts w:ascii="Times New Roman" w:eastAsia="Times New Roman" w:hAnsi="Times New Roman" w:cs="Times New Roman"/>
                <w:b/>
                <w:bCs/>
                <w:noProof/>
                <w:color w:val="000000"/>
                <w:sz w:val="26"/>
                <w:szCs w:val="26"/>
              </w:rPr>
            </w:pPr>
            <w:r w:rsidRPr="00715852">
              <w:rPr>
                <w:rFonts w:ascii="Times New Roman" w:eastAsia="Times New Roman" w:hAnsi="Times New Roman" w:cs="Times New Roman"/>
                <w:b/>
                <w:bCs/>
                <w:noProof/>
                <w:color w:val="000000"/>
                <w:sz w:val="26"/>
                <w:szCs w:val="26"/>
              </w:rPr>
              <w:t>Công văn số 620/STP-XDKTVB ngày 07/8/2025</w:t>
            </w:r>
          </w:p>
          <w:p w14:paraId="083D291A" w14:textId="0B064D21" w:rsidR="00E05C69" w:rsidRPr="00715852" w:rsidRDefault="00E05C69" w:rsidP="00715852">
            <w:pPr>
              <w:spacing w:before="60" w:after="60" w:line="240" w:lineRule="auto"/>
              <w:jc w:val="both"/>
              <w:rPr>
                <w:rFonts w:ascii="Times New Roman" w:hAnsi="Times New Roman" w:cs="Times New Roman"/>
                <w:b/>
                <w:bCs/>
                <w:noProof/>
                <w:sz w:val="26"/>
                <w:szCs w:val="26"/>
              </w:rPr>
            </w:pPr>
            <w:r w:rsidRPr="00715852">
              <w:rPr>
                <w:rFonts w:ascii="Times New Roman" w:hAnsi="Times New Roman" w:cs="Times New Roman"/>
                <w:b/>
                <w:bCs/>
                <w:noProof/>
                <w:sz w:val="26"/>
                <w:szCs w:val="26"/>
              </w:rPr>
              <w:t>1. Về phạm vi điều chỉnh</w:t>
            </w:r>
          </w:p>
          <w:p w14:paraId="2B451B6C" w14:textId="7D823BCD" w:rsidR="007A1DC7" w:rsidRPr="00715852" w:rsidRDefault="00E05C69" w:rsidP="00715852">
            <w:pPr>
              <w:spacing w:before="60" w:after="60" w:line="240" w:lineRule="auto"/>
              <w:jc w:val="both"/>
              <w:rPr>
                <w:rFonts w:ascii="Times New Roman" w:hAnsi="Times New Roman" w:cs="Times New Roman"/>
                <w:b/>
                <w:bCs/>
                <w:noProof/>
                <w:sz w:val="26"/>
                <w:szCs w:val="26"/>
              </w:rPr>
            </w:pPr>
            <w:r w:rsidRPr="00715852">
              <w:rPr>
                <w:rFonts w:ascii="Times New Roman" w:hAnsi="Times New Roman" w:cs="Times New Roman"/>
                <w:noProof/>
                <w:sz w:val="26"/>
                <w:szCs w:val="26"/>
                <w:lang w:val="vi-VN"/>
              </w:rPr>
              <w:t>Đề nghị ghi rõ “…theo quy định tại điểm c khoản 7 Điều 10 Nghị quyết</w:t>
            </w:r>
            <w:r w:rsidRPr="00715852">
              <w:rPr>
                <w:rFonts w:ascii="Times New Roman" w:hAnsi="Times New Roman" w:cs="Times New Roman"/>
                <w:noProof/>
                <w:sz w:val="26"/>
                <w:szCs w:val="26"/>
              </w:rPr>
              <w:t xml:space="preserve"> </w:t>
            </w:r>
            <w:r w:rsidRPr="00715852">
              <w:rPr>
                <w:rFonts w:ascii="Times New Roman" w:hAnsi="Times New Roman" w:cs="Times New Roman"/>
                <w:noProof/>
                <w:sz w:val="26"/>
                <w:szCs w:val="26"/>
                <w:lang w:val="vi-VN"/>
              </w:rPr>
              <w:t>số 136/2024/QH15 của Quốc hội về tổ chức chính quyền đô thị và thí điểm một</w:t>
            </w:r>
            <w:r w:rsidRPr="00715852">
              <w:rPr>
                <w:rFonts w:ascii="Times New Roman" w:hAnsi="Times New Roman" w:cs="Times New Roman"/>
                <w:noProof/>
                <w:sz w:val="26"/>
                <w:szCs w:val="26"/>
              </w:rPr>
              <w:t xml:space="preserve"> </w:t>
            </w:r>
            <w:r w:rsidRPr="00715852">
              <w:rPr>
                <w:rFonts w:ascii="Times New Roman" w:hAnsi="Times New Roman" w:cs="Times New Roman"/>
                <w:noProof/>
                <w:sz w:val="26"/>
                <w:szCs w:val="26"/>
                <w:lang w:val="vi-VN"/>
              </w:rPr>
              <w:t>số cơ chế, chính sách đặc thù phát triển thành phố Đà Nẵng” tại khoản 1 Điều 1</w:t>
            </w:r>
            <w:r w:rsidRPr="00715852">
              <w:rPr>
                <w:rFonts w:ascii="Times New Roman" w:hAnsi="Times New Roman" w:cs="Times New Roman"/>
                <w:noProof/>
                <w:sz w:val="26"/>
                <w:szCs w:val="26"/>
              </w:rPr>
              <w:t xml:space="preserve"> </w:t>
            </w:r>
            <w:r w:rsidRPr="00715852">
              <w:rPr>
                <w:rFonts w:ascii="Times New Roman" w:hAnsi="Times New Roman" w:cs="Times New Roman"/>
                <w:noProof/>
                <w:sz w:val="26"/>
                <w:szCs w:val="26"/>
                <w:lang w:val="vi-VN"/>
              </w:rPr>
              <w:t>dự thảo Nghị quyết</w:t>
            </w:r>
            <w:r w:rsidRPr="00715852">
              <w:rPr>
                <w:rFonts w:ascii="Times New Roman" w:hAnsi="Times New Roman" w:cs="Times New Roman"/>
                <w:noProof/>
                <w:sz w:val="26"/>
                <w:szCs w:val="26"/>
              </w:rPr>
              <w:t>.</w:t>
            </w:r>
          </w:p>
        </w:tc>
        <w:tc>
          <w:tcPr>
            <w:tcW w:w="4774" w:type="dxa"/>
            <w:tcBorders>
              <w:bottom w:val="nil"/>
            </w:tcBorders>
            <w:shd w:val="clear" w:color="auto" w:fill="F2F2F2" w:themeFill="background1" w:themeFillShade="F2"/>
          </w:tcPr>
          <w:p w14:paraId="1539CF76" w14:textId="5D3622B3" w:rsidR="007A1DC7" w:rsidRPr="00715852" w:rsidRDefault="005431E9" w:rsidP="00715852">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t>Đã chỉnh sửa theo góp ý của đơn vị.</w:t>
            </w:r>
          </w:p>
        </w:tc>
      </w:tr>
      <w:tr w:rsidR="00E05C69" w:rsidRPr="00715852" w14:paraId="1846FD24" w14:textId="77777777" w:rsidTr="008D3FF1">
        <w:trPr>
          <w:jc w:val="center"/>
        </w:trPr>
        <w:tc>
          <w:tcPr>
            <w:tcW w:w="704" w:type="dxa"/>
            <w:tcBorders>
              <w:top w:val="nil"/>
              <w:bottom w:val="nil"/>
            </w:tcBorders>
            <w:shd w:val="clear" w:color="auto" w:fill="F2F2F2" w:themeFill="background1" w:themeFillShade="F2"/>
          </w:tcPr>
          <w:p w14:paraId="2A6646F6" w14:textId="77777777" w:rsidR="00E05C69" w:rsidRPr="00715852" w:rsidRDefault="00E05C69" w:rsidP="00715852">
            <w:pPr>
              <w:spacing w:before="60" w:after="60" w:line="240" w:lineRule="auto"/>
              <w:jc w:val="center"/>
              <w:rPr>
                <w:rFonts w:ascii="Times New Roman" w:eastAsia="Times New Roman" w:hAnsi="Times New Roman" w:cs="Times New Roman"/>
                <w:noProof/>
                <w:color w:val="000000"/>
                <w:sz w:val="26"/>
                <w:szCs w:val="26"/>
              </w:rPr>
            </w:pPr>
          </w:p>
        </w:tc>
        <w:tc>
          <w:tcPr>
            <w:tcW w:w="1843" w:type="dxa"/>
            <w:tcBorders>
              <w:top w:val="nil"/>
              <w:bottom w:val="nil"/>
            </w:tcBorders>
            <w:shd w:val="clear" w:color="auto" w:fill="F2F2F2" w:themeFill="background1" w:themeFillShade="F2"/>
          </w:tcPr>
          <w:p w14:paraId="30BD0776" w14:textId="77777777" w:rsidR="00E05C69" w:rsidRPr="00715852" w:rsidRDefault="00E05C69" w:rsidP="00715852">
            <w:pPr>
              <w:spacing w:before="60" w:after="60" w:line="240" w:lineRule="auto"/>
              <w:jc w:val="both"/>
              <w:rPr>
                <w:rFonts w:ascii="Times New Roman" w:eastAsia="Times New Roman" w:hAnsi="Times New Roman" w:cs="Times New Roman"/>
                <w:noProof/>
                <w:color w:val="000000"/>
                <w:sz w:val="26"/>
                <w:szCs w:val="26"/>
              </w:rPr>
            </w:pPr>
          </w:p>
        </w:tc>
        <w:tc>
          <w:tcPr>
            <w:tcW w:w="6804" w:type="dxa"/>
            <w:tcBorders>
              <w:top w:val="nil"/>
              <w:bottom w:val="nil"/>
            </w:tcBorders>
            <w:shd w:val="clear" w:color="auto" w:fill="F2F2F2" w:themeFill="background1" w:themeFillShade="F2"/>
          </w:tcPr>
          <w:p w14:paraId="73155E4A" w14:textId="77777777" w:rsidR="00E05C69" w:rsidRPr="00715852" w:rsidRDefault="00E05C69" w:rsidP="00715852">
            <w:pPr>
              <w:spacing w:before="60" w:after="60" w:line="240" w:lineRule="auto"/>
              <w:jc w:val="both"/>
              <w:rPr>
                <w:rFonts w:ascii="Times New Roman" w:eastAsia="Times New Roman" w:hAnsi="Times New Roman" w:cs="Times New Roman"/>
                <w:b/>
                <w:bCs/>
                <w:noProof/>
                <w:color w:val="000000"/>
                <w:sz w:val="26"/>
                <w:szCs w:val="26"/>
              </w:rPr>
            </w:pPr>
            <w:r w:rsidRPr="00715852">
              <w:rPr>
                <w:rFonts w:ascii="Times New Roman" w:eastAsia="Times New Roman" w:hAnsi="Times New Roman" w:cs="Times New Roman"/>
                <w:b/>
                <w:bCs/>
                <w:noProof/>
                <w:color w:val="000000"/>
                <w:sz w:val="26"/>
                <w:szCs w:val="26"/>
              </w:rPr>
              <w:t>2. Đối với nội dung về nguyên tắc quản lý và sử dụng nguồn thu</w:t>
            </w:r>
          </w:p>
          <w:p w14:paraId="0933FA51" w14:textId="77777777" w:rsidR="00E05C69" w:rsidRPr="00715852" w:rsidRDefault="00274D82" w:rsidP="00715852">
            <w:pPr>
              <w:spacing w:before="60" w:after="60" w:line="240" w:lineRule="auto"/>
              <w:jc w:val="both"/>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 xml:space="preserve">- Khoản 1 Điều 2 dự thảo Nghị quyết quy định: “Nguồn thu từ giao dịch tín chỉ các-bon hình thành từ các chương trình, dự án theo các cơ chế trao đổi, bù trừ tín chỉ các-bon đầu tư từ nguồn vốn của ngân sách Thành phố là nguồn thu ngân sách Thành phố </w:t>
            </w:r>
            <w:r w:rsidRPr="00715852">
              <w:rPr>
                <w:rFonts w:ascii="Times New Roman" w:eastAsia="Times New Roman" w:hAnsi="Times New Roman" w:cs="Times New Roman"/>
                <w:noProof/>
                <w:color w:val="000000"/>
                <w:sz w:val="26"/>
                <w:szCs w:val="26"/>
              </w:rPr>
              <w:lastRenderedPageBreak/>
              <w:t>được hưởng 100%; các khoản thu này không dùng để xác định tỷ lệ phần trăm (%) đối với các khoản thu phân chia giữa ngân sách trung ương và ngân sách Thành phố”. Tuy nhiên, nội dung này đã được quy định tại điểm b khoản 7 Điều 10 Nghị quyết số 136/2024/QH15 “Ủy ban nhân dân Thành phố ban hành trình tự, thủ tục và quyết định việc lựa chọn nhà đầu tư. Nguồn thu từ giao dịch tín chỉ các-bon là nguồn thu ngân sách Thành phố được hưởng 100%; các khoản thu này không dùng để xác định tỷ lệ phần trăm (%) đối với các khoản thu phân chia giữa ngân sách trung ương và ngân sách Thành phố”; Nghị quyết số 136/2024/QH15 không giao HĐND thành phố quy định lại nội dung này mà chỉ giao “Hội đồng nhân dân Thành phố quyết định sử dụng nguồn thu từ giao dịch tín chỉ các-bon cho các chương trình, dự án ứng phó với biến đổi khí hậu, phát triển kinh tế xanh, kinh tế số, kinh tế tuần hoàn trên địa bàn Thành phố”.</w:t>
            </w:r>
          </w:p>
          <w:p w14:paraId="07F71575" w14:textId="77777777" w:rsidR="00274D82" w:rsidRPr="00715852" w:rsidRDefault="00274D82" w:rsidP="00715852">
            <w:pPr>
              <w:spacing w:before="60" w:after="60" w:line="240" w:lineRule="auto"/>
              <w:jc w:val="both"/>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 xml:space="preserve">Bên cạnh đó, hiện nay, các khoản thu ngân sách thành phố được hưởng 100% và các khoản thu phân chia theo tỷ lệ phần trăm (%) giữa ngân sách trung ương và ngân sách thành phố đang được quy định tại Nghị quyết số 52/2021/NQ-HĐND của HĐND thành phố Đà Nẵng (cũ) quy định về phân cấp nguồn thu, nhiệm vụ chi của các cấp ngân sách; nguyên tắc, tiêu chí và định mức phân bổ dự toán chi thường xuyên ngân sách địa phương năm 2022 và tỷ lệ phần trăm (%) phân chia giữa ngân sách các cấp chính quyền của thành phố Đà Nẵng (được sửa đổi, bổ sung bởi Nghị quyết số 66/2022/NQ-HĐND, Nghị quyết số 83/2023/NQ-HĐND, Nghị quyết số 51/2024/NQ-HĐND) và Nghị quyết số 36/2021/NQ-HĐND của HĐND tỉnh Quảng Nam ban hành quy định về phân cấp nguồn thu, nhiệm vụ chi và định mức phân bổ dự toán chi thường xuyên ngân sách các cấp thuộc </w:t>
            </w:r>
            <w:r w:rsidRPr="00715852">
              <w:rPr>
                <w:rFonts w:ascii="Times New Roman" w:eastAsia="Times New Roman" w:hAnsi="Times New Roman" w:cs="Times New Roman"/>
                <w:noProof/>
                <w:color w:val="000000"/>
                <w:sz w:val="26"/>
                <w:szCs w:val="26"/>
              </w:rPr>
              <w:lastRenderedPageBreak/>
              <w:t>ngân sách địa phương năm 2022, năm đầu của thời kỳ ổn định ngân sách 2022-2025 theo quy định của Luật Ngân sách nhà nước (được sửa đổi, bổ sung bởi Nghị quyết 37/2022/NQ-HĐND, Nghị quyết 14/2023/NQ-HĐND, Nghị quyết số 16/2024/NQ-HĐND).</w:t>
            </w:r>
          </w:p>
          <w:p w14:paraId="5ED40744" w14:textId="10D612F0" w:rsidR="00274D82" w:rsidRPr="00715852" w:rsidRDefault="00274D82" w:rsidP="00715852">
            <w:pPr>
              <w:spacing w:before="60" w:after="60" w:line="240" w:lineRule="auto"/>
              <w:jc w:val="both"/>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Do đó, đối với nội dung tại khoản 1 Điều 2 dự thảo Nghị quyết, đề nghị cơ quan soạn thảo không lặp lại quy định tại điểm b khoản 7 Điều 10 Nghị quyết số 136/2024/QH15 (mà phối hợp với Sở Tài chính tổng hợp khoản thu từ giao dịch tín chỉ các-bon hình thành từ các chương trình, dự án theo các cơ chế trao đổi, bù trừ tín chỉ các-bon đầu tư từ nguồn vốn của ngân sách thành phố khi tham mưu HĐND thành phố điều chỉnh đối với các văn bản quy phạm pháp luật hiện hành về phân cấp nguồn thu, nhiệm vụ chi của các cấp ngân sách).</w:t>
            </w:r>
          </w:p>
        </w:tc>
        <w:tc>
          <w:tcPr>
            <w:tcW w:w="4774" w:type="dxa"/>
            <w:tcBorders>
              <w:top w:val="nil"/>
              <w:bottom w:val="nil"/>
            </w:tcBorders>
            <w:shd w:val="clear" w:color="auto" w:fill="F2F2F2" w:themeFill="background1" w:themeFillShade="F2"/>
          </w:tcPr>
          <w:p w14:paraId="05D3AE51" w14:textId="77660E27" w:rsidR="005431E9" w:rsidRDefault="005431E9" w:rsidP="00715852">
            <w:pPr>
              <w:spacing w:before="60" w:after="60" w:line="240" w:lineRule="auto"/>
              <w:jc w:val="both"/>
              <w:rPr>
                <w:rFonts w:ascii="Times New Roman" w:eastAsia="Times New Roman" w:hAnsi="Times New Roman" w:cs="Times New Roman"/>
                <w:noProof/>
                <w:color w:val="000000"/>
                <w:sz w:val="26"/>
                <w:szCs w:val="26"/>
              </w:rPr>
            </w:pPr>
            <w:r>
              <w:rPr>
                <w:rFonts w:ascii="Times New Roman" w:eastAsia="Times New Roman" w:hAnsi="Times New Roman" w:cs="Times New Roman"/>
                <w:noProof/>
                <w:color w:val="000000"/>
                <w:sz w:val="26"/>
                <w:szCs w:val="26"/>
              </w:rPr>
              <w:lastRenderedPageBreak/>
              <w:t>Nội dung tại k</w:t>
            </w:r>
            <w:r w:rsidRPr="00715852">
              <w:rPr>
                <w:rFonts w:ascii="Times New Roman" w:eastAsia="Times New Roman" w:hAnsi="Times New Roman" w:cs="Times New Roman"/>
                <w:noProof/>
                <w:color w:val="000000"/>
                <w:sz w:val="26"/>
                <w:szCs w:val="26"/>
              </w:rPr>
              <w:t>hoản 1 Điều 2 dự thảo Nghị quyết</w:t>
            </w:r>
            <w:r>
              <w:rPr>
                <w:rFonts w:ascii="Times New Roman" w:eastAsia="Times New Roman" w:hAnsi="Times New Roman" w:cs="Times New Roman"/>
                <w:noProof/>
                <w:color w:val="000000"/>
                <w:sz w:val="26"/>
                <w:szCs w:val="26"/>
              </w:rPr>
              <w:t xml:space="preserve"> cơ bản nhắc lại một phần nội dung của </w:t>
            </w:r>
            <w:r w:rsidRPr="005431E9">
              <w:rPr>
                <w:rFonts w:ascii="Times New Roman" w:eastAsia="Times New Roman" w:hAnsi="Times New Roman" w:cs="Times New Roman"/>
                <w:noProof/>
                <w:color w:val="000000"/>
                <w:sz w:val="26"/>
                <w:szCs w:val="26"/>
              </w:rPr>
              <w:t>điểm b khoản 7 Điều 10 Nghị quyết số 136/2024/QH15</w:t>
            </w:r>
            <w:r>
              <w:rPr>
                <w:rFonts w:ascii="Times New Roman" w:eastAsia="Times New Roman" w:hAnsi="Times New Roman" w:cs="Times New Roman"/>
                <w:noProof/>
                <w:color w:val="000000"/>
                <w:sz w:val="26"/>
                <w:szCs w:val="26"/>
              </w:rPr>
              <w:t xml:space="preserve"> về “</w:t>
            </w:r>
            <w:r w:rsidRPr="005431E9">
              <w:rPr>
                <w:rFonts w:ascii="Times New Roman" w:eastAsia="Times New Roman" w:hAnsi="Times New Roman" w:cs="Times New Roman"/>
                <w:noProof/>
                <w:color w:val="000000"/>
                <w:sz w:val="26"/>
                <w:szCs w:val="26"/>
              </w:rPr>
              <w:t xml:space="preserve">Nguồn thu từ giao dịch tín chỉ các-bon là nguồn thu ngân sách Thành phố được hưởng 100%; các khoản </w:t>
            </w:r>
            <w:r w:rsidRPr="005431E9">
              <w:rPr>
                <w:rFonts w:ascii="Times New Roman" w:eastAsia="Times New Roman" w:hAnsi="Times New Roman" w:cs="Times New Roman"/>
                <w:noProof/>
                <w:color w:val="000000"/>
                <w:sz w:val="26"/>
                <w:szCs w:val="26"/>
              </w:rPr>
              <w:lastRenderedPageBreak/>
              <w:t>thu này không dùng để xác định tỷ lệ phần trăm (%) đối với các khoản thu phân chia giữa ngân sách trung ương và ngân sách Thành phố”</w:t>
            </w:r>
            <w:r>
              <w:rPr>
                <w:rFonts w:ascii="Times New Roman" w:eastAsia="Times New Roman" w:hAnsi="Times New Roman" w:cs="Times New Roman"/>
                <w:noProof/>
                <w:color w:val="000000"/>
                <w:sz w:val="26"/>
                <w:szCs w:val="26"/>
              </w:rPr>
              <w:t>.</w:t>
            </w:r>
          </w:p>
          <w:p w14:paraId="0727ADE6" w14:textId="1D34E0EC" w:rsidR="005431E9" w:rsidRPr="005431E9" w:rsidRDefault="005431E9" w:rsidP="00715852">
            <w:pPr>
              <w:spacing w:before="60" w:after="60" w:line="240" w:lineRule="auto"/>
              <w:jc w:val="both"/>
              <w:rPr>
                <w:rFonts w:ascii="Times New Roman" w:eastAsia="Times New Roman" w:hAnsi="Times New Roman" w:cs="Times New Roman"/>
                <w:noProof/>
                <w:color w:val="000000"/>
                <w:sz w:val="26"/>
                <w:szCs w:val="26"/>
              </w:rPr>
            </w:pPr>
            <w:r>
              <w:rPr>
                <w:rFonts w:ascii="Times New Roman" w:eastAsia="Times New Roman" w:hAnsi="Times New Roman" w:cs="Times New Roman"/>
                <w:noProof/>
                <w:color w:val="000000"/>
                <w:sz w:val="26"/>
                <w:szCs w:val="26"/>
              </w:rPr>
              <w:t>Tiếp thu ý kiến của Sở Tư pháp, Sở NNMT bỏ nội dung tại k</w:t>
            </w:r>
            <w:r w:rsidRPr="00715852">
              <w:rPr>
                <w:rFonts w:ascii="Times New Roman" w:eastAsia="Times New Roman" w:hAnsi="Times New Roman" w:cs="Times New Roman"/>
                <w:noProof/>
                <w:color w:val="000000"/>
                <w:sz w:val="26"/>
                <w:szCs w:val="26"/>
              </w:rPr>
              <w:t>hoản 1 Điều 2 dự thảo Nghị quyết</w:t>
            </w:r>
            <w:r>
              <w:rPr>
                <w:rFonts w:ascii="Times New Roman" w:eastAsia="Times New Roman" w:hAnsi="Times New Roman" w:cs="Times New Roman"/>
                <w:noProof/>
                <w:color w:val="000000"/>
                <w:sz w:val="26"/>
                <w:szCs w:val="26"/>
              </w:rPr>
              <w:t>.</w:t>
            </w:r>
          </w:p>
        </w:tc>
      </w:tr>
      <w:tr w:rsidR="00E05C69" w:rsidRPr="00715852" w14:paraId="5A93C87C" w14:textId="77777777" w:rsidTr="008D3FF1">
        <w:trPr>
          <w:jc w:val="center"/>
        </w:trPr>
        <w:tc>
          <w:tcPr>
            <w:tcW w:w="704" w:type="dxa"/>
            <w:tcBorders>
              <w:top w:val="nil"/>
              <w:bottom w:val="nil"/>
            </w:tcBorders>
            <w:shd w:val="clear" w:color="auto" w:fill="F2F2F2" w:themeFill="background1" w:themeFillShade="F2"/>
          </w:tcPr>
          <w:p w14:paraId="378103E5" w14:textId="77777777" w:rsidR="00E05C69" w:rsidRPr="00715852" w:rsidRDefault="00E05C69" w:rsidP="00715852">
            <w:pPr>
              <w:spacing w:before="60" w:after="60" w:line="240" w:lineRule="auto"/>
              <w:jc w:val="center"/>
              <w:rPr>
                <w:rFonts w:ascii="Times New Roman" w:eastAsia="Times New Roman" w:hAnsi="Times New Roman" w:cs="Times New Roman"/>
                <w:noProof/>
                <w:color w:val="000000"/>
                <w:sz w:val="26"/>
                <w:szCs w:val="26"/>
              </w:rPr>
            </w:pPr>
          </w:p>
        </w:tc>
        <w:tc>
          <w:tcPr>
            <w:tcW w:w="1843" w:type="dxa"/>
            <w:tcBorders>
              <w:top w:val="nil"/>
              <w:bottom w:val="nil"/>
            </w:tcBorders>
            <w:shd w:val="clear" w:color="auto" w:fill="F2F2F2" w:themeFill="background1" w:themeFillShade="F2"/>
          </w:tcPr>
          <w:p w14:paraId="6B7F48FF" w14:textId="77777777" w:rsidR="00E05C69" w:rsidRPr="00715852" w:rsidRDefault="00E05C69" w:rsidP="00715852">
            <w:pPr>
              <w:spacing w:before="60" w:after="60" w:line="240" w:lineRule="auto"/>
              <w:jc w:val="both"/>
              <w:rPr>
                <w:rFonts w:ascii="Times New Roman" w:eastAsia="Times New Roman" w:hAnsi="Times New Roman" w:cs="Times New Roman"/>
                <w:noProof/>
                <w:color w:val="000000"/>
                <w:sz w:val="26"/>
                <w:szCs w:val="26"/>
              </w:rPr>
            </w:pPr>
          </w:p>
        </w:tc>
        <w:tc>
          <w:tcPr>
            <w:tcW w:w="6804" w:type="dxa"/>
            <w:tcBorders>
              <w:top w:val="nil"/>
              <w:bottom w:val="nil"/>
            </w:tcBorders>
            <w:shd w:val="clear" w:color="auto" w:fill="F2F2F2" w:themeFill="background1" w:themeFillShade="F2"/>
          </w:tcPr>
          <w:p w14:paraId="47C3A7A7" w14:textId="7EA1C18E" w:rsidR="00274D82" w:rsidRPr="00715852" w:rsidRDefault="00274D82" w:rsidP="00715852">
            <w:pPr>
              <w:spacing w:before="60" w:after="60" w:line="240" w:lineRule="auto"/>
              <w:jc w:val="both"/>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 Đối với nội dung về việc sử dụng khoản thu từ giao dịch tín chỉ các-bon hình thành từ các chương trình, dự án theo các cơ chế trao đổi, bù trừ tín chỉ cácbon đầu tư từ nguồn vốn của ngân sách thành phố tại khoản 2 Điều 2 dự thảo Nghị quyết, đề nghị cơ quan soạn thảo lưu ý các vấn đề sau:</w:t>
            </w:r>
          </w:p>
          <w:p w14:paraId="0D20528E" w14:textId="33EBD5B5" w:rsidR="00E05C69" w:rsidRPr="00715852" w:rsidRDefault="00274D82" w:rsidP="00715852">
            <w:pPr>
              <w:spacing w:before="60" w:after="60" w:line="240" w:lineRule="auto"/>
              <w:jc w:val="both"/>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 Các mục đích được phép sử dụng khoản thu nêu trên trong khoản 2 Điều 2 dự thảo Nghị quyết rất rộng, còn chung chung. Vì nguồn thu từ giao dịch tín chỉ các-bon hình thành từ các chương trình, dự án theo các cơ chế trao đổi, bù trừ tín chỉ các-bon đầu tư từ nguồn vốn của ngân sách thành phố có hạn nên đề nghị cân nhắc quy định cụ thể hơn các hoạt động được phép sử dụng khoản thu nêu trên.</w:t>
            </w:r>
          </w:p>
        </w:tc>
        <w:tc>
          <w:tcPr>
            <w:tcW w:w="4774" w:type="dxa"/>
            <w:tcBorders>
              <w:top w:val="nil"/>
              <w:bottom w:val="nil"/>
            </w:tcBorders>
            <w:shd w:val="clear" w:color="auto" w:fill="F2F2F2" w:themeFill="background1" w:themeFillShade="F2"/>
          </w:tcPr>
          <w:p w14:paraId="2D64D609" w14:textId="77777777" w:rsidR="00105635" w:rsidRPr="00105635" w:rsidRDefault="00105635" w:rsidP="00105635">
            <w:pPr>
              <w:spacing w:before="60" w:after="60" w:line="240" w:lineRule="auto"/>
              <w:jc w:val="both"/>
              <w:rPr>
                <w:rFonts w:ascii="Times New Roman" w:eastAsia="Times New Roman" w:hAnsi="Times New Roman" w:cs="Times New Roman"/>
                <w:noProof/>
                <w:color w:val="000000"/>
                <w:sz w:val="26"/>
                <w:szCs w:val="26"/>
              </w:rPr>
            </w:pPr>
            <w:r w:rsidRPr="00105635">
              <w:rPr>
                <w:rFonts w:ascii="Times New Roman" w:eastAsia="Times New Roman" w:hAnsi="Times New Roman" w:cs="Times New Roman"/>
                <w:noProof/>
                <w:color w:val="000000"/>
                <w:sz w:val="26"/>
                <w:szCs w:val="26"/>
              </w:rPr>
              <w:t>Về ý kiến cho rằng các mục đích sử dụng nguồn thu từ giao dịch tín chỉ các-bon được quy định tại khoản 2 Điều 2 của dự thảo Nghị quyết còn rộng, đề nghị quy định cụ thể hơn:</w:t>
            </w:r>
          </w:p>
          <w:p w14:paraId="04D4651A" w14:textId="5C8C554D" w:rsidR="00E05C69" w:rsidRDefault="00105635" w:rsidP="00105635">
            <w:pPr>
              <w:spacing w:before="60" w:after="60" w:line="240" w:lineRule="auto"/>
              <w:jc w:val="both"/>
              <w:rPr>
                <w:rFonts w:ascii="Times New Roman" w:eastAsia="Times New Roman" w:hAnsi="Times New Roman" w:cs="Times New Roman"/>
                <w:noProof/>
                <w:color w:val="000000"/>
                <w:sz w:val="26"/>
                <w:szCs w:val="26"/>
              </w:rPr>
            </w:pPr>
            <w:r>
              <w:rPr>
                <w:rFonts w:ascii="Times New Roman" w:eastAsia="Times New Roman" w:hAnsi="Times New Roman" w:cs="Times New Roman"/>
                <w:noProof/>
                <w:color w:val="000000"/>
                <w:sz w:val="26"/>
                <w:szCs w:val="26"/>
              </w:rPr>
              <w:t xml:space="preserve">Sở NNMT </w:t>
            </w:r>
            <w:r w:rsidRPr="00105635">
              <w:rPr>
                <w:rFonts w:ascii="Times New Roman" w:eastAsia="Times New Roman" w:hAnsi="Times New Roman" w:cs="Times New Roman"/>
                <w:noProof/>
                <w:color w:val="000000"/>
                <w:sz w:val="26"/>
                <w:szCs w:val="26"/>
              </w:rPr>
              <w:t xml:space="preserve">đã nghiên cứu và tiếp thu theo hướng các mục </w:t>
            </w:r>
            <w:r>
              <w:rPr>
                <w:rFonts w:ascii="Times New Roman" w:eastAsia="Times New Roman" w:hAnsi="Times New Roman" w:cs="Times New Roman"/>
                <w:noProof/>
                <w:color w:val="000000"/>
                <w:sz w:val="26"/>
                <w:szCs w:val="26"/>
              </w:rPr>
              <w:t>đích</w:t>
            </w:r>
            <w:r w:rsidRPr="00105635">
              <w:rPr>
                <w:rFonts w:ascii="Times New Roman" w:eastAsia="Times New Roman" w:hAnsi="Times New Roman" w:cs="Times New Roman"/>
                <w:noProof/>
                <w:color w:val="000000"/>
                <w:sz w:val="26"/>
                <w:szCs w:val="26"/>
              </w:rPr>
              <w:t xml:space="preserve"> nêu tại dự thảo là các </w:t>
            </w:r>
            <w:r w:rsidRPr="00105635">
              <w:rPr>
                <w:rFonts w:ascii="Times New Roman" w:eastAsia="Times New Roman" w:hAnsi="Times New Roman" w:cs="Times New Roman"/>
                <w:b/>
                <w:bCs/>
                <w:noProof/>
                <w:color w:val="000000"/>
                <w:sz w:val="26"/>
                <w:szCs w:val="26"/>
              </w:rPr>
              <w:t>nhóm hoạt động, chương trình, dự án</w:t>
            </w:r>
            <w:r w:rsidRPr="00105635">
              <w:rPr>
                <w:rFonts w:ascii="Times New Roman" w:eastAsia="Times New Roman" w:hAnsi="Times New Roman" w:cs="Times New Roman"/>
                <w:noProof/>
                <w:color w:val="000000"/>
                <w:sz w:val="26"/>
                <w:szCs w:val="26"/>
              </w:rPr>
              <w:t xml:space="preserve"> thuộc các lĩnh vực ứng phó với biến đổi khí hậu, phát triển kinh tế xanh, kinh tế số, kinh tế tuần hoàn. Đây là khung định hướng chung, bảo đảm phù hợp với mục tiêu quản lý nguồn thu và tạo sự linh hoạt trong triển khai; việc quy định quá cụ thể ngay trong </w:t>
            </w:r>
            <w:r w:rsidRPr="00105635">
              <w:rPr>
                <w:rFonts w:ascii="Times New Roman" w:eastAsia="Times New Roman" w:hAnsi="Times New Roman" w:cs="Times New Roman"/>
                <w:noProof/>
                <w:color w:val="000000"/>
                <w:sz w:val="26"/>
                <w:szCs w:val="26"/>
              </w:rPr>
              <w:lastRenderedPageBreak/>
              <w:t>Nghị quyết có thể giới hạn phạm vi, tính chủ động và khả năng lựa chọn các chương trình, dự án phát sinh trong tương lai. Danh mục hoạt động cụ thể sẽ được xác định căn cứ vào tình hình thực tế và đề xuất của các cơ quan, đơn vị có thẩm quyền ở từng giai đoạn. Nội dung dự thảo đã được lấy ý kiến của các đơn vị chuyên môn liên quan như Bộ Nông nghiệp và Môi trường, Viện Phát triển Kinh tế – Xã hội thành phố, và cơ bản thống nhất với phạm vi, mục đích sử dụng nguồn thu như đã nêu.</w:t>
            </w:r>
          </w:p>
          <w:p w14:paraId="2C0BC510" w14:textId="577635CA" w:rsidR="00105635" w:rsidRPr="002379B7" w:rsidRDefault="00105635" w:rsidP="00105635">
            <w:pPr>
              <w:spacing w:before="60" w:after="60" w:line="240" w:lineRule="auto"/>
              <w:jc w:val="both"/>
              <w:rPr>
                <w:rFonts w:ascii="Times New Roman" w:eastAsia="Times New Roman" w:hAnsi="Times New Roman" w:cs="Times New Roman"/>
                <w:noProof/>
                <w:color w:val="000000"/>
                <w:sz w:val="26"/>
                <w:szCs w:val="26"/>
              </w:rPr>
            </w:pPr>
            <w:r>
              <w:rPr>
                <w:rFonts w:ascii="Times New Roman" w:eastAsia="Times New Roman" w:hAnsi="Times New Roman" w:cs="Times New Roman"/>
                <w:noProof/>
                <w:color w:val="000000"/>
                <w:sz w:val="26"/>
                <w:szCs w:val="26"/>
              </w:rPr>
              <w:t>Về</w:t>
            </w:r>
            <w:r w:rsidRPr="00105635">
              <w:rPr>
                <w:rFonts w:ascii="Times New Roman" w:eastAsia="Times New Roman" w:hAnsi="Times New Roman" w:cs="Times New Roman"/>
                <w:noProof/>
                <w:color w:val="000000"/>
                <w:sz w:val="26"/>
                <w:szCs w:val="26"/>
              </w:rPr>
              <w:t xml:space="preserve"> ý kiến cho rằng nguồn thu từ giao dịch tín chỉ các-bon hình thành từ các chương trình, dự án đầu tư từ nguồn vốn ngân sách thành phố có hạn: hiện nay trên địa bàn thành phố chưa có chương trình, dự án nào đăng ký thực hiện cơ chế trao đổi, bù trừ tín chỉ các-bon, do đó chưa có cơ sở để khẳng định nguồn thu sẽ hạn chế. Một số đánh giá chuyên môn cho thấy tiềm năng triển khai của thành phố là lớn.</w:t>
            </w:r>
            <w:r>
              <w:t xml:space="preserve"> </w:t>
            </w:r>
            <w:r w:rsidRPr="00105635">
              <w:rPr>
                <w:rFonts w:ascii="Times New Roman" w:eastAsia="Times New Roman" w:hAnsi="Times New Roman" w:cs="Times New Roman"/>
                <w:noProof/>
                <w:color w:val="000000"/>
                <w:sz w:val="26"/>
                <w:szCs w:val="26"/>
              </w:rPr>
              <w:t>Việc quy định nguyên tắc quản lý và sử dụng nguồn thu trong Nghị quyết nhằm tạo khung pháp lý sẵn sàng khi các dự án, chương trình được triển khai trong tương lai.</w:t>
            </w:r>
          </w:p>
        </w:tc>
      </w:tr>
      <w:tr w:rsidR="00274D82" w:rsidRPr="00715852" w14:paraId="13741F44" w14:textId="77777777" w:rsidTr="008D3FF1">
        <w:trPr>
          <w:jc w:val="center"/>
        </w:trPr>
        <w:tc>
          <w:tcPr>
            <w:tcW w:w="704" w:type="dxa"/>
            <w:tcBorders>
              <w:top w:val="nil"/>
              <w:bottom w:val="nil"/>
            </w:tcBorders>
            <w:shd w:val="clear" w:color="auto" w:fill="F2F2F2" w:themeFill="background1" w:themeFillShade="F2"/>
          </w:tcPr>
          <w:p w14:paraId="3C8FAA4F" w14:textId="77777777" w:rsidR="00274D82" w:rsidRPr="00715852" w:rsidRDefault="00274D82" w:rsidP="00715852">
            <w:pPr>
              <w:spacing w:before="60" w:after="60" w:line="240" w:lineRule="auto"/>
              <w:jc w:val="center"/>
              <w:rPr>
                <w:rFonts w:ascii="Times New Roman" w:eastAsia="Times New Roman" w:hAnsi="Times New Roman" w:cs="Times New Roman"/>
                <w:noProof/>
                <w:color w:val="000000"/>
                <w:sz w:val="26"/>
                <w:szCs w:val="26"/>
              </w:rPr>
            </w:pPr>
          </w:p>
        </w:tc>
        <w:tc>
          <w:tcPr>
            <w:tcW w:w="1843" w:type="dxa"/>
            <w:tcBorders>
              <w:top w:val="nil"/>
              <w:bottom w:val="nil"/>
            </w:tcBorders>
            <w:shd w:val="clear" w:color="auto" w:fill="F2F2F2" w:themeFill="background1" w:themeFillShade="F2"/>
          </w:tcPr>
          <w:p w14:paraId="6E857529" w14:textId="77777777" w:rsidR="00274D82" w:rsidRPr="00715852" w:rsidRDefault="00274D82" w:rsidP="00715852">
            <w:pPr>
              <w:spacing w:before="60" w:after="60" w:line="240" w:lineRule="auto"/>
              <w:jc w:val="both"/>
              <w:rPr>
                <w:rFonts w:ascii="Times New Roman" w:eastAsia="Times New Roman" w:hAnsi="Times New Roman" w:cs="Times New Roman"/>
                <w:noProof/>
                <w:color w:val="000000"/>
                <w:sz w:val="26"/>
                <w:szCs w:val="26"/>
              </w:rPr>
            </w:pPr>
          </w:p>
        </w:tc>
        <w:tc>
          <w:tcPr>
            <w:tcW w:w="6804" w:type="dxa"/>
            <w:tcBorders>
              <w:top w:val="nil"/>
              <w:bottom w:val="nil"/>
            </w:tcBorders>
            <w:shd w:val="clear" w:color="auto" w:fill="F2F2F2" w:themeFill="background1" w:themeFillShade="F2"/>
          </w:tcPr>
          <w:p w14:paraId="10EC8548" w14:textId="663CF7FE" w:rsidR="00274D82" w:rsidRPr="00715852" w:rsidRDefault="00A476FA" w:rsidP="00715852">
            <w:pPr>
              <w:spacing w:before="60" w:after="60" w:line="240" w:lineRule="auto"/>
              <w:jc w:val="both"/>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 Bản thuyết minh dự thảo Nghị quyết chưa thuyết minh được căn cứ (căn cứ pháp lý và căn cứ thực tiễn) đề xuất các mục đích được phép sử dụng khoản thu nêu trên trong khoản 2 Điều 2 dự thảo Nghị quyết. Do đó, nội dung thuyết minh trong Bản thuyết minh dự thảo Nghị quyết vẫn chưa đảm bảo. Đề nghị cơ quan soạn thảo cân nhắc, thuyết minh rõ ràng, cụ thể hơn về cơ sở đề xuất nội dung tại khoản 2 Điều 2 dự thảo Nghị quyết.</w:t>
            </w:r>
          </w:p>
        </w:tc>
        <w:tc>
          <w:tcPr>
            <w:tcW w:w="4774" w:type="dxa"/>
            <w:tcBorders>
              <w:top w:val="nil"/>
              <w:bottom w:val="nil"/>
            </w:tcBorders>
            <w:shd w:val="clear" w:color="auto" w:fill="F2F2F2" w:themeFill="background1" w:themeFillShade="F2"/>
          </w:tcPr>
          <w:p w14:paraId="5CC1D779" w14:textId="401ABE03" w:rsidR="00274D82" w:rsidRPr="003F1211" w:rsidRDefault="003F1211" w:rsidP="00715852">
            <w:pPr>
              <w:spacing w:before="60" w:after="60" w:line="240" w:lineRule="auto"/>
              <w:jc w:val="both"/>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lang w:val="vi-VN"/>
              </w:rPr>
              <w:t>Đã chỉnh sửa theo góp ý của đơn vị</w:t>
            </w:r>
            <w:r w:rsidR="00C65DEB">
              <w:rPr>
                <w:rFonts w:ascii="Times New Roman" w:eastAsia="Times New Roman" w:hAnsi="Times New Roman" w:cs="Times New Roman"/>
                <w:noProof/>
                <w:color w:val="000000"/>
                <w:sz w:val="26"/>
                <w:szCs w:val="26"/>
              </w:rPr>
              <w:t xml:space="preserve"> (làm rõ căn cứ pháp lý và bổ sung căn cứ thực tiễn đề xuất các mục đích tại phần này)</w:t>
            </w:r>
            <w:r w:rsidRPr="00715852">
              <w:rPr>
                <w:rFonts w:ascii="Times New Roman" w:eastAsia="Times New Roman" w:hAnsi="Times New Roman" w:cs="Times New Roman"/>
                <w:noProof/>
                <w:color w:val="000000"/>
                <w:sz w:val="26"/>
                <w:szCs w:val="26"/>
                <w:lang w:val="vi-VN"/>
              </w:rPr>
              <w:t>.</w:t>
            </w:r>
          </w:p>
        </w:tc>
      </w:tr>
      <w:tr w:rsidR="00A476FA" w:rsidRPr="00EB690A" w14:paraId="4555B586" w14:textId="77777777" w:rsidTr="008D3FF1">
        <w:trPr>
          <w:jc w:val="center"/>
        </w:trPr>
        <w:tc>
          <w:tcPr>
            <w:tcW w:w="704" w:type="dxa"/>
            <w:tcBorders>
              <w:top w:val="nil"/>
              <w:bottom w:val="nil"/>
            </w:tcBorders>
            <w:shd w:val="clear" w:color="auto" w:fill="F2F2F2" w:themeFill="background1" w:themeFillShade="F2"/>
          </w:tcPr>
          <w:p w14:paraId="0729EFC0" w14:textId="77777777" w:rsidR="00A476FA" w:rsidRPr="00715852" w:rsidRDefault="00A476FA" w:rsidP="00715852">
            <w:pPr>
              <w:spacing w:before="60" w:after="60" w:line="240" w:lineRule="auto"/>
              <w:jc w:val="center"/>
              <w:rPr>
                <w:rFonts w:ascii="Times New Roman" w:eastAsia="Times New Roman" w:hAnsi="Times New Roman" w:cs="Times New Roman"/>
                <w:noProof/>
                <w:color w:val="000000"/>
                <w:sz w:val="26"/>
                <w:szCs w:val="26"/>
              </w:rPr>
            </w:pPr>
          </w:p>
        </w:tc>
        <w:tc>
          <w:tcPr>
            <w:tcW w:w="1843" w:type="dxa"/>
            <w:tcBorders>
              <w:top w:val="nil"/>
              <w:bottom w:val="nil"/>
            </w:tcBorders>
            <w:shd w:val="clear" w:color="auto" w:fill="F2F2F2" w:themeFill="background1" w:themeFillShade="F2"/>
          </w:tcPr>
          <w:p w14:paraId="6EDF3F43" w14:textId="77777777" w:rsidR="00A476FA" w:rsidRPr="00715852" w:rsidRDefault="00A476FA" w:rsidP="00715852">
            <w:pPr>
              <w:spacing w:before="60" w:after="60" w:line="240" w:lineRule="auto"/>
              <w:jc w:val="both"/>
              <w:rPr>
                <w:rFonts w:ascii="Times New Roman" w:eastAsia="Times New Roman" w:hAnsi="Times New Roman" w:cs="Times New Roman"/>
                <w:noProof/>
                <w:color w:val="000000"/>
                <w:sz w:val="26"/>
                <w:szCs w:val="26"/>
              </w:rPr>
            </w:pPr>
          </w:p>
        </w:tc>
        <w:tc>
          <w:tcPr>
            <w:tcW w:w="6804" w:type="dxa"/>
            <w:tcBorders>
              <w:top w:val="nil"/>
              <w:bottom w:val="nil"/>
            </w:tcBorders>
            <w:shd w:val="clear" w:color="auto" w:fill="F2F2F2" w:themeFill="background1" w:themeFillShade="F2"/>
          </w:tcPr>
          <w:p w14:paraId="798D39D2" w14:textId="77777777" w:rsidR="00A476FA" w:rsidRPr="00715852" w:rsidRDefault="00A476FA" w:rsidP="00715852">
            <w:pPr>
              <w:spacing w:before="60" w:after="60" w:line="240" w:lineRule="auto"/>
              <w:jc w:val="both"/>
              <w:rPr>
                <w:rFonts w:ascii="Times New Roman" w:eastAsia="Times New Roman" w:hAnsi="Times New Roman" w:cs="Times New Roman"/>
                <w:b/>
                <w:bCs/>
                <w:noProof/>
                <w:color w:val="000000"/>
                <w:sz w:val="26"/>
                <w:szCs w:val="26"/>
              </w:rPr>
            </w:pPr>
            <w:r w:rsidRPr="00715852">
              <w:rPr>
                <w:rFonts w:ascii="Times New Roman" w:eastAsia="Times New Roman" w:hAnsi="Times New Roman" w:cs="Times New Roman"/>
                <w:b/>
                <w:bCs/>
                <w:noProof/>
                <w:color w:val="000000"/>
                <w:sz w:val="26"/>
                <w:szCs w:val="26"/>
              </w:rPr>
              <w:t>3. Các vấn đề khác</w:t>
            </w:r>
          </w:p>
          <w:p w14:paraId="058AD51F" w14:textId="785E13F1" w:rsidR="00A476FA" w:rsidRPr="00715852" w:rsidRDefault="00A476FA" w:rsidP="00715852">
            <w:pPr>
              <w:spacing w:before="60" w:after="60" w:line="240" w:lineRule="auto"/>
              <w:jc w:val="both"/>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 Khi xây dựng văn bản quy phạm pháp luật triển khai các cơ chế, chính sách đặc thù được cho phép thí điểm theo Nghị quyết số 136/2024/QH15 (trong đó có cơ chế, chính sách về sử dụng nguồn thu từ giao dịch tín chỉ các-bon cho các chương trình, dự án ứng phó với biến đổi khí hậu, phát triển kinh tế xanh, kinh tế số, kinh tế tuần hoàn), đề nghị cơ quan soạn thảo tham khảo thêm các địa phương đã thực hiện trước đó (như khoản 10 Điều 5 Nghị quyết số 98/2023/QH15 về thí điểm cơ chế, chính sách đặc thù phát triển Thành phố Hồ Chí Minh có quy định về việc thí điểm cơ chế tài chính thực hiện biện pháp giảm phát thải khí nhà kính theo các cơ chế trao đổi, bù trừ tín chỉ các-bon - tương tự cơ chế tại khoản 7 Điều 10 Nghị quyết số 136/2024/QH15) để tham mưu cho phù hợp.</w:t>
            </w:r>
          </w:p>
        </w:tc>
        <w:tc>
          <w:tcPr>
            <w:tcW w:w="4774" w:type="dxa"/>
            <w:tcBorders>
              <w:top w:val="nil"/>
              <w:bottom w:val="nil"/>
            </w:tcBorders>
            <w:shd w:val="clear" w:color="auto" w:fill="F2F2F2" w:themeFill="background1" w:themeFillShade="F2"/>
          </w:tcPr>
          <w:p w14:paraId="53098006" w14:textId="0D3CA2B0" w:rsidR="00124264" w:rsidRPr="00124264" w:rsidRDefault="00124264" w:rsidP="00124264">
            <w:pPr>
              <w:spacing w:before="60" w:after="60" w:line="240" w:lineRule="auto"/>
              <w:jc w:val="both"/>
              <w:rPr>
                <w:rFonts w:ascii="Times New Roman" w:eastAsia="Times New Roman" w:hAnsi="Times New Roman" w:cs="Times New Roman"/>
                <w:noProof/>
                <w:color w:val="000000"/>
                <w:sz w:val="26"/>
                <w:szCs w:val="26"/>
                <w:lang w:val="vi-VN"/>
              </w:rPr>
            </w:pPr>
            <w:r w:rsidRPr="00124264">
              <w:rPr>
                <w:rFonts w:ascii="Times New Roman" w:eastAsia="Times New Roman" w:hAnsi="Times New Roman" w:cs="Times New Roman"/>
                <w:noProof/>
                <w:color w:val="000000"/>
                <w:sz w:val="26"/>
                <w:szCs w:val="26"/>
                <w:lang w:val="vi-VN"/>
              </w:rPr>
              <w:t xml:space="preserve">Trong quá trình triển khai nhiệm vụ theo khoản 7 Điều 10 Nghị quyết số 136/2024/QH15, Sở </w:t>
            </w:r>
            <w:r>
              <w:rPr>
                <w:rFonts w:ascii="Times New Roman" w:eastAsia="Times New Roman" w:hAnsi="Times New Roman" w:cs="Times New Roman"/>
                <w:noProof/>
                <w:color w:val="000000"/>
                <w:sz w:val="26"/>
                <w:szCs w:val="26"/>
              </w:rPr>
              <w:t xml:space="preserve">NNMT </w:t>
            </w:r>
            <w:r w:rsidRPr="00124264">
              <w:rPr>
                <w:rFonts w:ascii="Times New Roman" w:eastAsia="Times New Roman" w:hAnsi="Times New Roman" w:cs="Times New Roman"/>
                <w:noProof/>
                <w:color w:val="000000"/>
                <w:sz w:val="26"/>
                <w:szCs w:val="26"/>
                <w:lang w:val="vi-VN"/>
              </w:rPr>
              <w:t>đã tổ chức đoàn công tác học tập kinh nghiệm tại Thành phố Hồ Chí Minh và thường xuyên trao đổi, cập nhật quá trình triển khai tại đây. Tuy nhiên, hiện nay đề án cơ chế thí điểm của Thành phố Hồ Chí Minh do Sở Tài chính chủ trì (Sở NNMT phối hợp) vẫn chưa được phê duyệt, chấp thuận, nên chưa có cơ sở thực tiễn hoàn chỉnh để vận dụng trực tiếp cho thành phố Đà Nẵng.</w:t>
            </w:r>
          </w:p>
          <w:p w14:paraId="3A1EA967" w14:textId="77732D84" w:rsidR="00A476FA" w:rsidRPr="00715852" w:rsidRDefault="00124264" w:rsidP="00124264">
            <w:pPr>
              <w:spacing w:before="60" w:after="60" w:line="240" w:lineRule="auto"/>
              <w:jc w:val="both"/>
              <w:rPr>
                <w:rFonts w:ascii="Times New Roman" w:eastAsia="Times New Roman" w:hAnsi="Times New Roman" w:cs="Times New Roman"/>
                <w:noProof/>
                <w:color w:val="000000"/>
                <w:sz w:val="26"/>
                <w:szCs w:val="26"/>
                <w:lang w:val="vi-VN"/>
              </w:rPr>
            </w:pPr>
            <w:r w:rsidRPr="00124264">
              <w:rPr>
                <w:rFonts w:ascii="Times New Roman" w:eastAsia="Times New Roman" w:hAnsi="Times New Roman" w:cs="Times New Roman"/>
                <w:noProof/>
                <w:color w:val="000000"/>
                <w:sz w:val="26"/>
                <w:szCs w:val="26"/>
                <w:lang w:val="vi-VN"/>
              </w:rPr>
              <w:t>Do đó, khi xây dựng dự thảo Nghị quyết này, Sở NNMT đã chủ động dựa trên quy định của pháp luật hiện hành và tình hình thực tiễn của địa phương, đồng thời lấy ý kiến của các cơ quan có chuyên môn liên quan như Cục Biến đổi khí hậu – Bộ Nông nghiệp và Môi trường, Sở Tài chính, cùng các đơn vị liên quan khác, để bảo đảm tính phù hợp và khả thi.</w:t>
            </w:r>
          </w:p>
        </w:tc>
      </w:tr>
      <w:tr w:rsidR="00E05C69" w:rsidRPr="00EB690A" w14:paraId="1B890C88" w14:textId="77777777" w:rsidTr="008D3FF1">
        <w:trPr>
          <w:jc w:val="center"/>
        </w:trPr>
        <w:tc>
          <w:tcPr>
            <w:tcW w:w="704" w:type="dxa"/>
            <w:tcBorders>
              <w:top w:val="nil"/>
            </w:tcBorders>
            <w:shd w:val="clear" w:color="auto" w:fill="F2F2F2" w:themeFill="background1" w:themeFillShade="F2"/>
          </w:tcPr>
          <w:p w14:paraId="50FC1E2B" w14:textId="77777777" w:rsidR="00E05C69" w:rsidRPr="00124264" w:rsidRDefault="00E05C69" w:rsidP="00715852">
            <w:pPr>
              <w:spacing w:before="60" w:after="60" w:line="240" w:lineRule="auto"/>
              <w:jc w:val="center"/>
              <w:rPr>
                <w:rFonts w:ascii="Times New Roman" w:eastAsia="Times New Roman" w:hAnsi="Times New Roman" w:cs="Times New Roman"/>
                <w:noProof/>
                <w:color w:val="000000"/>
                <w:sz w:val="26"/>
                <w:szCs w:val="26"/>
                <w:lang w:val="vi-VN"/>
              </w:rPr>
            </w:pPr>
          </w:p>
        </w:tc>
        <w:tc>
          <w:tcPr>
            <w:tcW w:w="1843" w:type="dxa"/>
            <w:tcBorders>
              <w:top w:val="nil"/>
            </w:tcBorders>
            <w:shd w:val="clear" w:color="auto" w:fill="F2F2F2" w:themeFill="background1" w:themeFillShade="F2"/>
          </w:tcPr>
          <w:p w14:paraId="731E3AF9" w14:textId="77777777" w:rsidR="00E05C69" w:rsidRPr="00124264" w:rsidRDefault="00E05C69" w:rsidP="00715852">
            <w:pPr>
              <w:spacing w:before="60" w:after="60" w:line="240" w:lineRule="auto"/>
              <w:jc w:val="both"/>
              <w:rPr>
                <w:rFonts w:ascii="Times New Roman" w:eastAsia="Times New Roman" w:hAnsi="Times New Roman" w:cs="Times New Roman"/>
                <w:noProof/>
                <w:color w:val="000000"/>
                <w:sz w:val="26"/>
                <w:szCs w:val="26"/>
                <w:lang w:val="vi-VN"/>
              </w:rPr>
            </w:pPr>
          </w:p>
        </w:tc>
        <w:tc>
          <w:tcPr>
            <w:tcW w:w="6804" w:type="dxa"/>
            <w:tcBorders>
              <w:top w:val="nil"/>
            </w:tcBorders>
            <w:shd w:val="clear" w:color="auto" w:fill="F2F2F2" w:themeFill="background1" w:themeFillShade="F2"/>
          </w:tcPr>
          <w:p w14:paraId="69C95D1D" w14:textId="7F1C95A3" w:rsidR="00715852" w:rsidRPr="00197C84" w:rsidRDefault="00715852" w:rsidP="00715852">
            <w:pPr>
              <w:spacing w:before="60" w:after="60" w:line="240" w:lineRule="auto"/>
              <w:jc w:val="both"/>
              <w:rPr>
                <w:rFonts w:ascii="Times New Roman" w:eastAsia="Times New Roman" w:hAnsi="Times New Roman" w:cs="Times New Roman"/>
                <w:noProof/>
                <w:color w:val="000000"/>
                <w:sz w:val="26"/>
                <w:szCs w:val="26"/>
                <w:lang w:val="vi-VN"/>
              </w:rPr>
            </w:pPr>
            <w:r w:rsidRPr="00197C84">
              <w:rPr>
                <w:rFonts w:ascii="Times New Roman" w:eastAsia="Times New Roman" w:hAnsi="Times New Roman" w:cs="Times New Roman"/>
                <w:noProof/>
                <w:color w:val="000000"/>
                <w:sz w:val="26"/>
                <w:szCs w:val="26"/>
                <w:lang w:val="vi-VN"/>
              </w:rPr>
              <w:t>- Hiện nay, Nghị định số 78/2025/NĐ-CP quy định chi tiết một số điều và biện pháp để tổ chức, hướng dẫn thi hành Luật Ban hành văn bản quy phạm pháp luật đã được sửa đổi, bổ sung bởi Nghị định số 187/2025/NĐ-CP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theo đó, các biểu mẫu trong hồ sơ dự thảo văn bản quy phạm pháp luật được quy định tại Nghị định số 78/2025/NĐ-CP đã bị thay thế bởi các biểu mẫu trong Phụ lục kèm theo Nghị định số 187/2025/NĐ-CP. Do đó, đề nghị cơ quan soạn thảo rà soát, điều chỉnh các thành phần hồ sơ dự thảo Nghị quyết theo đúng biểu mẫu quy định tại Nghị định số 187/2025/NĐ-CP.</w:t>
            </w:r>
          </w:p>
        </w:tc>
        <w:tc>
          <w:tcPr>
            <w:tcW w:w="4774" w:type="dxa"/>
            <w:tcBorders>
              <w:top w:val="nil"/>
            </w:tcBorders>
            <w:shd w:val="clear" w:color="auto" w:fill="F2F2F2" w:themeFill="background1" w:themeFillShade="F2"/>
          </w:tcPr>
          <w:p w14:paraId="3FF2971F" w14:textId="77777777" w:rsidR="00E05C69" w:rsidRPr="00197C84" w:rsidRDefault="00124264" w:rsidP="00715852">
            <w:pPr>
              <w:spacing w:before="60" w:after="60" w:line="240" w:lineRule="auto"/>
              <w:jc w:val="both"/>
              <w:rPr>
                <w:rFonts w:ascii="Times New Roman" w:eastAsia="Times New Roman" w:hAnsi="Times New Roman" w:cs="Times New Roman"/>
                <w:noProof/>
                <w:color w:val="000000"/>
                <w:sz w:val="26"/>
                <w:szCs w:val="26"/>
                <w:lang w:val="vi-VN"/>
              </w:rPr>
            </w:pPr>
            <w:r w:rsidRPr="00197C84">
              <w:rPr>
                <w:rFonts w:ascii="Times New Roman" w:eastAsia="Times New Roman" w:hAnsi="Times New Roman" w:cs="Times New Roman"/>
                <w:noProof/>
                <w:color w:val="000000"/>
                <w:sz w:val="26"/>
                <w:szCs w:val="26"/>
                <w:lang w:val="vi-VN"/>
              </w:rPr>
              <w:t>Tiếp thu ý kiến của Sở Tư pháp, Sở NNMT đã rà soát, hoàn thiện các thành phần hồ sơ dự thảo Nghị quyết theo đúng biểu mẫu quy định tại Nghị định số 187/2025/NĐ-CP, cụ thể:</w:t>
            </w:r>
          </w:p>
          <w:p w14:paraId="7B16EA1A" w14:textId="5B3CFF13" w:rsidR="00124264" w:rsidRPr="00197C84" w:rsidRDefault="00124264" w:rsidP="00124264">
            <w:pPr>
              <w:spacing w:before="60" w:after="60" w:line="240" w:lineRule="auto"/>
              <w:jc w:val="both"/>
              <w:rPr>
                <w:rFonts w:ascii="Times New Roman" w:eastAsia="Times New Roman" w:hAnsi="Times New Roman" w:cs="Times New Roman"/>
                <w:noProof/>
                <w:color w:val="000000"/>
                <w:sz w:val="26"/>
                <w:szCs w:val="26"/>
                <w:lang w:val="vi-VN"/>
              </w:rPr>
            </w:pPr>
            <w:r w:rsidRPr="00197C84">
              <w:rPr>
                <w:rFonts w:ascii="Times New Roman" w:eastAsia="Times New Roman" w:hAnsi="Times New Roman" w:cs="Times New Roman"/>
                <w:noProof/>
                <w:color w:val="000000"/>
                <w:sz w:val="26"/>
                <w:szCs w:val="26"/>
                <w:lang w:val="vi-VN"/>
              </w:rPr>
              <w:t xml:space="preserve">- Dự thảo Nghị quyết: </w:t>
            </w:r>
            <w:r w:rsidRPr="00197C84">
              <w:rPr>
                <w:rFonts w:ascii="Times New Roman" w:eastAsia="Times New Roman" w:hAnsi="Times New Roman" w:cs="Times New Roman"/>
                <w:b/>
                <w:bCs/>
                <w:noProof/>
                <w:color w:val="000000"/>
                <w:sz w:val="26"/>
                <w:szCs w:val="26"/>
                <w:lang w:val="vi-VN"/>
              </w:rPr>
              <w:t>Phụ lục III</w:t>
            </w:r>
            <w:r w:rsidR="00A80916" w:rsidRPr="00197C84">
              <w:rPr>
                <w:rFonts w:ascii="Times New Roman" w:eastAsia="Times New Roman" w:hAnsi="Times New Roman" w:cs="Times New Roman"/>
                <w:b/>
                <w:bCs/>
                <w:noProof/>
                <w:color w:val="000000"/>
                <w:sz w:val="26"/>
                <w:szCs w:val="26"/>
                <w:lang w:val="vi-VN"/>
              </w:rPr>
              <w:t>,</w:t>
            </w:r>
            <w:r w:rsidRPr="00197C84">
              <w:rPr>
                <w:rFonts w:ascii="Times New Roman" w:eastAsia="Times New Roman" w:hAnsi="Times New Roman" w:cs="Times New Roman"/>
                <w:b/>
                <w:bCs/>
                <w:noProof/>
                <w:color w:val="000000"/>
                <w:sz w:val="26"/>
                <w:szCs w:val="26"/>
                <w:lang w:val="vi-VN"/>
              </w:rPr>
              <w:t xml:space="preserve"> Mẫu số 17</w:t>
            </w:r>
            <w:r w:rsidR="00A80916" w:rsidRPr="00197C84">
              <w:rPr>
                <w:rFonts w:ascii="Times New Roman" w:eastAsia="Times New Roman" w:hAnsi="Times New Roman" w:cs="Times New Roman"/>
                <w:noProof/>
                <w:color w:val="000000"/>
                <w:sz w:val="26"/>
                <w:szCs w:val="26"/>
                <w:lang w:val="vi-VN"/>
              </w:rPr>
              <w:t xml:space="preserve"> -</w:t>
            </w:r>
            <w:r w:rsidRPr="00197C84">
              <w:rPr>
                <w:rFonts w:ascii="Times New Roman" w:eastAsia="Times New Roman" w:hAnsi="Times New Roman" w:cs="Times New Roman"/>
                <w:noProof/>
                <w:color w:val="000000"/>
                <w:sz w:val="26"/>
                <w:szCs w:val="26"/>
                <w:lang w:val="vi-VN"/>
              </w:rPr>
              <w:t xml:space="preserve"> Nghị quyết của Hội đồng nhân dân các cấp (quy định trực tiếp)</w:t>
            </w:r>
          </w:p>
          <w:p w14:paraId="2F795F97" w14:textId="77777777" w:rsidR="00124264" w:rsidRPr="00197C84" w:rsidRDefault="00124264" w:rsidP="00A80916">
            <w:pPr>
              <w:spacing w:before="60" w:after="60" w:line="240" w:lineRule="auto"/>
              <w:jc w:val="both"/>
              <w:rPr>
                <w:rFonts w:ascii="Times New Roman" w:eastAsia="Times New Roman" w:hAnsi="Times New Roman" w:cs="Times New Roman"/>
                <w:noProof/>
                <w:color w:val="000000"/>
                <w:sz w:val="26"/>
                <w:szCs w:val="26"/>
                <w:lang w:val="vi-VN"/>
              </w:rPr>
            </w:pPr>
            <w:r w:rsidRPr="00197C84">
              <w:rPr>
                <w:rFonts w:ascii="Times New Roman" w:eastAsia="Times New Roman" w:hAnsi="Times New Roman" w:cs="Times New Roman"/>
                <w:noProof/>
                <w:color w:val="000000"/>
                <w:sz w:val="26"/>
                <w:szCs w:val="26"/>
                <w:lang w:val="vi-VN"/>
              </w:rPr>
              <w:t xml:space="preserve">- Dự thảo Tờ trình: </w:t>
            </w:r>
            <w:r w:rsidR="00A80916" w:rsidRPr="00197C84">
              <w:rPr>
                <w:rFonts w:ascii="Times New Roman" w:eastAsia="Times New Roman" w:hAnsi="Times New Roman" w:cs="Times New Roman"/>
                <w:b/>
                <w:bCs/>
                <w:noProof/>
                <w:color w:val="000000"/>
                <w:sz w:val="26"/>
                <w:szCs w:val="26"/>
                <w:lang w:val="vi-VN"/>
              </w:rPr>
              <w:t>Phụ lục IV, Mẫu số 02</w:t>
            </w:r>
            <w:r w:rsidR="00A80916" w:rsidRPr="00197C84">
              <w:rPr>
                <w:rFonts w:ascii="Times New Roman" w:eastAsia="Times New Roman" w:hAnsi="Times New Roman" w:cs="Times New Roman"/>
                <w:noProof/>
                <w:color w:val="000000"/>
                <w:sz w:val="26"/>
                <w:szCs w:val="26"/>
                <w:lang w:val="vi-VN"/>
              </w:rPr>
              <w:t xml:space="preserve"> - Tờ trình dự án, dự thảo văn bản quy phạm pháp luật</w:t>
            </w:r>
          </w:p>
          <w:p w14:paraId="4B7DF3A6" w14:textId="77777777" w:rsidR="00A80916" w:rsidRPr="00197C84" w:rsidRDefault="00A80916" w:rsidP="00D235A1">
            <w:pPr>
              <w:spacing w:before="60" w:after="60" w:line="240" w:lineRule="auto"/>
              <w:jc w:val="both"/>
              <w:rPr>
                <w:rFonts w:ascii="Times New Roman" w:eastAsia="Times New Roman" w:hAnsi="Times New Roman" w:cs="Times New Roman"/>
                <w:noProof/>
                <w:color w:val="000000"/>
                <w:sz w:val="26"/>
                <w:szCs w:val="26"/>
                <w:lang w:val="vi-VN"/>
              </w:rPr>
            </w:pPr>
            <w:r w:rsidRPr="00197C84">
              <w:rPr>
                <w:rFonts w:ascii="Times New Roman" w:eastAsia="Times New Roman" w:hAnsi="Times New Roman" w:cs="Times New Roman"/>
                <w:noProof/>
                <w:color w:val="000000"/>
                <w:sz w:val="26"/>
                <w:szCs w:val="26"/>
                <w:lang w:val="vi-VN"/>
              </w:rPr>
              <w:t xml:space="preserve">- Dự thảo </w:t>
            </w:r>
            <w:r w:rsidR="00D235A1" w:rsidRPr="00197C84">
              <w:rPr>
                <w:rFonts w:ascii="Times New Roman" w:eastAsia="Times New Roman" w:hAnsi="Times New Roman" w:cs="Times New Roman"/>
                <w:noProof/>
                <w:color w:val="000000"/>
                <w:sz w:val="26"/>
                <w:szCs w:val="26"/>
                <w:lang w:val="vi-VN"/>
              </w:rPr>
              <w:t xml:space="preserve">Bản thuyết minh: </w:t>
            </w:r>
            <w:r w:rsidR="00D235A1" w:rsidRPr="00197C84">
              <w:rPr>
                <w:rFonts w:ascii="Times New Roman" w:eastAsia="Times New Roman" w:hAnsi="Times New Roman" w:cs="Times New Roman"/>
                <w:b/>
                <w:bCs/>
                <w:noProof/>
                <w:color w:val="000000"/>
                <w:sz w:val="26"/>
                <w:szCs w:val="26"/>
                <w:lang w:val="vi-VN"/>
              </w:rPr>
              <w:t>Phụ lục IV, Mẫu số 05</w:t>
            </w:r>
            <w:r w:rsidR="00D235A1" w:rsidRPr="00197C84">
              <w:rPr>
                <w:rFonts w:ascii="Times New Roman" w:eastAsia="Times New Roman" w:hAnsi="Times New Roman" w:cs="Times New Roman"/>
                <w:noProof/>
                <w:color w:val="000000"/>
                <w:sz w:val="26"/>
                <w:szCs w:val="26"/>
                <w:lang w:val="vi-VN"/>
              </w:rPr>
              <w:t xml:space="preserve"> - Bản thuyết minh quy phạm hóa chính sách của luật, nghị quyết của Quốc hội, pháp lệnh của Ủy ban Thường vụ Quốc hội không thực hiện quy trình xây dựng chính sách</w:t>
            </w:r>
          </w:p>
          <w:p w14:paraId="6D0608B6" w14:textId="619559BB" w:rsidR="00D235A1" w:rsidRPr="000E44D8" w:rsidRDefault="00D235A1" w:rsidP="00D235A1">
            <w:pPr>
              <w:spacing w:before="60" w:after="60" w:line="240" w:lineRule="auto"/>
              <w:jc w:val="both"/>
              <w:rPr>
                <w:rFonts w:ascii="Times New Roman" w:eastAsia="Times New Roman" w:hAnsi="Times New Roman" w:cs="Times New Roman"/>
                <w:noProof/>
                <w:color w:val="000000"/>
                <w:sz w:val="26"/>
                <w:szCs w:val="26"/>
                <w:lang w:val="vi-VN"/>
              </w:rPr>
            </w:pPr>
            <w:r w:rsidRPr="00197C84">
              <w:rPr>
                <w:rFonts w:ascii="Times New Roman" w:eastAsia="Times New Roman" w:hAnsi="Times New Roman" w:cs="Times New Roman"/>
                <w:noProof/>
                <w:color w:val="000000"/>
                <w:sz w:val="26"/>
                <w:szCs w:val="26"/>
                <w:lang w:val="vi-VN"/>
              </w:rPr>
              <w:t xml:space="preserve">- </w:t>
            </w:r>
            <w:r w:rsidR="000E44D8" w:rsidRPr="000E44D8">
              <w:rPr>
                <w:rFonts w:ascii="Times New Roman" w:eastAsia="Times New Roman" w:hAnsi="Times New Roman" w:cs="Times New Roman"/>
                <w:noProof/>
                <w:color w:val="000000"/>
                <w:sz w:val="26"/>
                <w:szCs w:val="26"/>
                <w:lang w:val="vi-VN"/>
              </w:rPr>
              <w:t xml:space="preserve">Đối với </w:t>
            </w:r>
            <w:r w:rsidRPr="00197C84">
              <w:rPr>
                <w:rFonts w:ascii="Times New Roman" w:eastAsia="Times New Roman" w:hAnsi="Times New Roman" w:cs="Times New Roman"/>
                <w:noProof/>
                <w:color w:val="000000"/>
                <w:sz w:val="26"/>
                <w:szCs w:val="26"/>
                <w:lang w:val="vi-VN"/>
              </w:rPr>
              <w:t>Dự thảo Bản tổng hợp ý kiến:</w:t>
            </w:r>
            <w:r w:rsidR="000E44D8" w:rsidRPr="000E44D8">
              <w:rPr>
                <w:rFonts w:ascii="Times New Roman" w:eastAsia="Times New Roman" w:hAnsi="Times New Roman" w:cs="Times New Roman"/>
                <w:noProof/>
                <w:color w:val="000000"/>
                <w:sz w:val="26"/>
                <w:szCs w:val="26"/>
                <w:lang w:val="vi-VN"/>
              </w:rPr>
              <w:t xml:space="preserve"> Sở NNMT cơ bản bám sát mẫu theo</w:t>
            </w:r>
            <w:r w:rsidRPr="00197C84">
              <w:rPr>
                <w:rFonts w:ascii="Times New Roman" w:eastAsia="Times New Roman" w:hAnsi="Times New Roman" w:cs="Times New Roman"/>
                <w:noProof/>
                <w:color w:val="000000"/>
                <w:sz w:val="26"/>
                <w:szCs w:val="26"/>
                <w:lang w:val="vi-VN"/>
              </w:rPr>
              <w:t xml:space="preserve"> </w:t>
            </w:r>
            <w:r w:rsidRPr="00197C84">
              <w:rPr>
                <w:rFonts w:ascii="Times New Roman" w:eastAsia="Times New Roman" w:hAnsi="Times New Roman" w:cs="Times New Roman"/>
                <w:b/>
                <w:bCs/>
                <w:noProof/>
                <w:color w:val="000000"/>
                <w:sz w:val="26"/>
                <w:szCs w:val="26"/>
                <w:lang w:val="vi-VN"/>
              </w:rPr>
              <w:t>Phụ lục IV, Mẫu số 10</w:t>
            </w:r>
            <w:r w:rsidRPr="00197C84">
              <w:rPr>
                <w:rFonts w:ascii="Times New Roman" w:eastAsia="Times New Roman" w:hAnsi="Times New Roman" w:cs="Times New Roman"/>
                <w:noProof/>
                <w:color w:val="000000"/>
                <w:sz w:val="26"/>
                <w:szCs w:val="26"/>
                <w:lang w:val="vi-VN"/>
              </w:rPr>
              <w:t xml:space="preserve"> - Bản tổng hợp ý kiến, tiếp thu, giải trình ý kiến góp ý, tham vấn chính sách/Bản tổng hợp ý kiến, tiếp thu, giải trình ý kiến góp ý, phản biện xã hội đối với dự án, dự thảo văn bản quy phạm pháp luật</w:t>
            </w:r>
            <w:r w:rsidR="000E44D8" w:rsidRPr="000E44D8">
              <w:rPr>
                <w:rFonts w:ascii="Times New Roman" w:eastAsia="Times New Roman" w:hAnsi="Times New Roman" w:cs="Times New Roman"/>
                <w:noProof/>
                <w:color w:val="000000"/>
                <w:sz w:val="26"/>
                <w:szCs w:val="26"/>
                <w:lang w:val="vi-VN"/>
              </w:rPr>
              <w:t>. Tuy nhiên, do quá trình xây dựng dự thảo và lấy ý kiến phức tạp, Sở NNMT có điều chỉnh bố cục bản tổng hợp để thuận tiện, rõ r</w:t>
            </w:r>
            <w:r w:rsidR="000E44D8" w:rsidRPr="008D3FF1">
              <w:rPr>
                <w:rFonts w:ascii="Times New Roman" w:eastAsia="Times New Roman" w:hAnsi="Times New Roman" w:cs="Times New Roman"/>
                <w:noProof/>
                <w:color w:val="000000"/>
                <w:sz w:val="26"/>
                <w:szCs w:val="26"/>
                <w:lang w:val="vi-VN"/>
              </w:rPr>
              <w:t>àng</w:t>
            </w:r>
            <w:r w:rsidR="000E44D8" w:rsidRPr="000E44D8">
              <w:rPr>
                <w:rFonts w:ascii="Times New Roman" w:eastAsia="Times New Roman" w:hAnsi="Times New Roman" w:cs="Times New Roman"/>
                <w:noProof/>
                <w:color w:val="000000"/>
                <w:sz w:val="26"/>
                <w:szCs w:val="26"/>
                <w:lang w:val="vi-VN"/>
              </w:rPr>
              <w:t xml:space="preserve"> hơn cho công tác thẩm định của Sở Tư pháp.</w:t>
            </w:r>
          </w:p>
        </w:tc>
      </w:tr>
      <w:tr w:rsidR="00C65C57" w:rsidRPr="00EB690A" w14:paraId="4D54EF61" w14:textId="77777777" w:rsidTr="008D3FF1">
        <w:trPr>
          <w:jc w:val="center"/>
        </w:trPr>
        <w:tc>
          <w:tcPr>
            <w:tcW w:w="704" w:type="dxa"/>
          </w:tcPr>
          <w:p w14:paraId="0FFAA611" w14:textId="717E44A7" w:rsidR="00C65C57" w:rsidRPr="00715852" w:rsidRDefault="007A1DC7" w:rsidP="00715852">
            <w:pPr>
              <w:spacing w:before="60" w:after="60" w:line="240" w:lineRule="auto"/>
              <w:jc w:val="center"/>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lastRenderedPageBreak/>
              <w:t>3</w:t>
            </w:r>
          </w:p>
        </w:tc>
        <w:tc>
          <w:tcPr>
            <w:tcW w:w="1843" w:type="dxa"/>
          </w:tcPr>
          <w:p w14:paraId="1DC19E10" w14:textId="77777777" w:rsidR="00C65C57" w:rsidRPr="00715852" w:rsidRDefault="00C65C57" w:rsidP="00715852">
            <w:pPr>
              <w:spacing w:before="60" w:after="60" w:line="240" w:lineRule="auto"/>
              <w:jc w:val="both"/>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Sở Khoa học và Công nghệ</w:t>
            </w:r>
          </w:p>
        </w:tc>
        <w:tc>
          <w:tcPr>
            <w:tcW w:w="6804" w:type="dxa"/>
          </w:tcPr>
          <w:p w14:paraId="088D1445" w14:textId="4E704344" w:rsidR="00C65C57" w:rsidRPr="00715852" w:rsidRDefault="00C65C57" w:rsidP="00715852">
            <w:pPr>
              <w:spacing w:before="60" w:after="60" w:line="240" w:lineRule="auto"/>
              <w:jc w:val="both"/>
              <w:rPr>
                <w:rFonts w:ascii="Times New Roman" w:eastAsia="Times New Roman" w:hAnsi="Times New Roman" w:cs="Times New Roman"/>
                <w:b/>
                <w:bCs/>
                <w:noProof/>
                <w:color w:val="000000"/>
                <w:sz w:val="26"/>
                <w:szCs w:val="26"/>
              </w:rPr>
            </w:pPr>
            <w:r w:rsidRPr="00715852">
              <w:rPr>
                <w:rFonts w:ascii="Times New Roman" w:eastAsia="Times New Roman" w:hAnsi="Times New Roman" w:cs="Times New Roman"/>
                <w:b/>
                <w:bCs/>
                <w:noProof/>
                <w:color w:val="000000"/>
                <w:sz w:val="26"/>
                <w:szCs w:val="26"/>
              </w:rPr>
              <w:t>Công văn số 253/SKHCN-KHSHTT ngày 17/7/2025</w:t>
            </w:r>
          </w:p>
          <w:p w14:paraId="274F62D9" w14:textId="77777777" w:rsidR="00C65C57" w:rsidRPr="00715852" w:rsidRDefault="00C65C57" w:rsidP="00715852">
            <w:pPr>
              <w:spacing w:before="60" w:after="60" w:line="240" w:lineRule="auto"/>
              <w:jc w:val="both"/>
              <w:rPr>
                <w:rFonts w:ascii="Times New Roman" w:hAnsi="Times New Roman" w:cs="Times New Roman"/>
                <w:noProof/>
                <w:sz w:val="26"/>
                <w:szCs w:val="26"/>
                <w:lang w:val="vi-VN"/>
              </w:rPr>
            </w:pPr>
            <w:r w:rsidRPr="00715852">
              <w:rPr>
                <w:rFonts w:ascii="Times New Roman" w:hAnsi="Times New Roman" w:cs="Times New Roman"/>
                <w:noProof/>
                <w:sz w:val="26"/>
                <w:szCs w:val="26"/>
                <w:lang w:val="vi-VN"/>
              </w:rPr>
              <w:t>Sau khi nghiên cứu, trong phạm vi chức năng nhiệm vụ của Sở Khoa học và</w:t>
            </w:r>
            <w:r w:rsidRPr="00715852">
              <w:rPr>
                <w:rFonts w:ascii="Times New Roman" w:hAnsi="Times New Roman" w:cs="Times New Roman"/>
                <w:noProof/>
                <w:sz w:val="26"/>
                <w:szCs w:val="26"/>
              </w:rPr>
              <w:t xml:space="preserve"> </w:t>
            </w:r>
            <w:r w:rsidRPr="00715852">
              <w:rPr>
                <w:rFonts w:ascii="Times New Roman" w:hAnsi="Times New Roman" w:cs="Times New Roman"/>
                <w:noProof/>
                <w:sz w:val="26"/>
                <w:szCs w:val="26"/>
                <w:lang w:val="vi-VN"/>
              </w:rPr>
              <w:t>Công nghệ, Sở thống nhất với dự thảo Nghị quyết đính kèm.</w:t>
            </w:r>
          </w:p>
        </w:tc>
        <w:tc>
          <w:tcPr>
            <w:tcW w:w="4774" w:type="dxa"/>
          </w:tcPr>
          <w:p w14:paraId="2B8FF91F" w14:textId="77777777" w:rsidR="00C65C57" w:rsidRPr="00715852" w:rsidRDefault="00C65C57" w:rsidP="00715852">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t>Tiếp thu ý kiến của đơn vị.</w:t>
            </w:r>
          </w:p>
        </w:tc>
      </w:tr>
      <w:tr w:rsidR="00745088" w:rsidRPr="00EB690A" w14:paraId="161AE541" w14:textId="77777777" w:rsidTr="00745088">
        <w:trPr>
          <w:jc w:val="center"/>
        </w:trPr>
        <w:tc>
          <w:tcPr>
            <w:tcW w:w="704" w:type="dxa"/>
            <w:shd w:val="clear" w:color="auto" w:fill="F2F2F2" w:themeFill="background1" w:themeFillShade="F2"/>
          </w:tcPr>
          <w:p w14:paraId="38E2B745" w14:textId="249AD0B4" w:rsidR="00745088" w:rsidRPr="00715852" w:rsidRDefault="00745088" w:rsidP="00745088">
            <w:pPr>
              <w:spacing w:before="60" w:after="60" w:line="240" w:lineRule="auto"/>
              <w:jc w:val="center"/>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4</w:t>
            </w:r>
          </w:p>
        </w:tc>
        <w:tc>
          <w:tcPr>
            <w:tcW w:w="1843" w:type="dxa"/>
            <w:shd w:val="clear" w:color="auto" w:fill="F2F2F2" w:themeFill="background1" w:themeFillShade="F2"/>
          </w:tcPr>
          <w:p w14:paraId="6C9DAB3B" w14:textId="4BF9F347" w:rsidR="00745088" w:rsidRPr="00715852" w:rsidRDefault="00745088" w:rsidP="00745088">
            <w:pPr>
              <w:spacing w:before="60" w:after="60" w:line="240" w:lineRule="auto"/>
              <w:jc w:val="both"/>
              <w:rPr>
                <w:rFonts w:ascii="Times New Roman" w:eastAsia="Times New Roman" w:hAnsi="Times New Roman" w:cs="Times New Roman"/>
                <w:noProof/>
                <w:color w:val="000000"/>
                <w:sz w:val="26"/>
                <w:szCs w:val="26"/>
              </w:rPr>
            </w:pPr>
            <w:r>
              <w:rPr>
                <w:rFonts w:ascii="Times New Roman" w:eastAsia="Times New Roman" w:hAnsi="Times New Roman" w:cs="Times New Roman"/>
                <w:noProof/>
                <w:color w:val="000000"/>
                <w:sz w:val="26"/>
                <w:szCs w:val="26"/>
              </w:rPr>
              <w:t>Sở Nội vụ</w:t>
            </w:r>
          </w:p>
        </w:tc>
        <w:tc>
          <w:tcPr>
            <w:tcW w:w="6804" w:type="dxa"/>
            <w:shd w:val="clear" w:color="auto" w:fill="F2F2F2" w:themeFill="background1" w:themeFillShade="F2"/>
          </w:tcPr>
          <w:p w14:paraId="58161494" w14:textId="7ECA1AFF" w:rsidR="00745088" w:rsidRPr="00715852" w:rsidRDefault="00745088" w:rsidP="00745088">
            <w:pPr>
              <w:spacing w:before="60" w:after="60" w:line="240" w:lineRule="auto"/>
              <w:jc w:val="both"/>
              <w:rPr>
                <w:rFonts w:ascii="Times New Roman" w:eastAsia="Times New Roman" w:hAnsi="Times New Roman" w:cs="Times New Roman"/>
                <w:b/>
                <w:bCs/>
                <w:noProof/>
                <w:color w:val="000000"/>
                <w:sz w:val="26"/>
                <w:szCs w:val="26"/>
              </w:rPr>
            </w:pPr>
            <w:r w:rsidRPr="00715852">
              <w:rPr>
                <w:rFonts w:ascii="Times New Roman" w:eastAsia="Times New Roman" w:hAnsi="Times New Roman" w:cs="Times New Roman"/>
                <w:b/>
                <w:bCs/>
                <w:noProof/>
                <w:color w:val="000000"/>
                <w:sz w:val="26"/>
                <w:szCs w:val="26"/>
              </w:rPr>
              <w:t xml:space="preserve">Công văn số </w:t>
            </w:r>
            <w:r>
              <w:rPr>
                <w:rFonts w:ascii="Times New Roman" w:eastAsia="Times New Roman" w:hAnsi="Times New Roman" w:cs="Times New Roman"/>
                <w:b/>
                <w:bCs/>
                <w:noProof/>
                <w:color w:val="000000"/>
                <w:sz w:val="26"/>
                <w:szCs w:val="26"/>
              </w:rPr>
              <w:t>960</w:t>
            </w:r>
            <w:r w:rsidRPr="00745088">
              <w:rPr>
                <w:rFonts w:ascii="Times New Roman" w:eastAsia="Times New Roman" w:hAnsi="Times New Roman" w:cs="Times New Roman"/>
                <w:b/>
                <w:bCs/>
                <w:noProof/>
                <w:color w:val="000000"/>
                <w:sz w:val="26"/>
                <w:szCs w:val="26"/>
              </w:rPr>
              <w:t>/SNV-VP</w:t>
            </w:r>
            <w:r w:rsidRPr="00715852">
              <w:rPr>
                <w:rFonts w:ascii="Times New Roman" w:eastAsia="Times New Roman" w:hAnsi="Times New Roman" w:cs="Times New Roman"/>
                <w:b/>
                <w:bCs/>
                <w:noProof/>
                <w:color w:val="000000"/>
                <w:sz w:val="26"/>
                <w:szCs w:val="26"/>
              </w:rPr>
              <w:t xml:space="preserve"> ngày </w:t>
            </w:r>
            <w:r>
              <w:rPr>
                <w:rFonts w:ascii="Times New Roman" w:eastAsia="Times New Roman" w:hAnsi="Times New Roman" w:cs="Times New Roman"/>
                <w:b/>
                <w:bCs/>
                <w:noProof/>
                <w:color w:val="000000"/>
                <w:sz w:val="26"/>
                <w:szCs w:val="26"/>
              </w:rPr>
              <w:t>05/8</w:t>
            </w:r>
            <w:r w:rsidRPr="00715852">
              <w:rPr>
                <w:rFonts w:ascii="Times New Roman" w:eastAsia="Times New Roman" w:hAnsi="Times New Roman" w:cs="Times New Roman"/>
                <w:b/>
                <w:bCs/>
                <w:noProof/>
                <w:color w:val="000000"/>
                <w:sz w:val="26"/>
                <w:szCs w:val="26"/>
              </w:rPr>
              <w:t>/2025</w:t>
            </w:r>
          </w:p>
          <w:p w14:paraId="77BED61D" w14:textId="02DA783E" w:rsidR="00745088" w:rsidRPr="00715852" w:rsidRDefault="00745088" w:rsidP="00745088">
            <w:pPr>
              <w:spacing w:before="60" w:after="60" w:line="240" w:lineRule="auto"/>
              <w:jc w:val="both"/>
              <w:rPr>
                <w:rFonts w:ascii="Times New Roman" w:eastAsia="Times New Roman" w:hAnsi="Times New Roman" w:cs="Times New Roman"/>
                <w:b/>
                <w:bCs/>
                <w:noProof/>
                <w:color w:val="000000"/>
                <w:sz w:val="26"/>
                <w:szCs w:val="26"/>
              </w:rPr>
            </w:pPr>
            <w:r w:rsidRPr="00745088">
              <w:rPr>
                <w:rFonts w:ascii="Times New Roman" w:hAnsi="Times New Roman" w:cs="Times New Roman"/>
                <w:noProof/>
                <w:sz w:val="26"/>
                <w:szCs w:val="26"/>
                <w:lang w:val="vi-VN"/>
              </w:rPr>
              <w:t>Qua nghiên cứu, Sở Nội vụ cơ bản thống nhất với dự thảo Nghị quyết nêu</w:t>
            </w:r>
            <w:r>
              <w:rPr>
                <w:rFonts w:ascii="Times New Roman" w:hAnsi="Times New Roman" w:cs="Times New Roman"/>
                <w:noProof/>
                <w:sz w:val="26"/>
                <w:szCs w:val="26"/>
              </w:rPr>
              <w:t xml:space="preserve"> </w:t>
            </w:r>
            <w:r w:rsidRPr="00745088">
              <w:rPr>
                <w:rFonts w:ascii="Times New Roman" w:hAnsi="Times New Roman" w:cs="Times New Roman"/>
                <w:noProof/>
                <w:sz w:val="26"/>
                <w:szCs w:val="26"/>
                <w:lang w:val="vi-VN"/>
              </w:rPr>
              <w:t>trên.</w:t>
            </w:r>
          </w:p>
        </w:tc>
        <w:tc>
          <w:tcPr>
            <w:tcW w:w="4774" w:type="dxa"/>
            <w:shd w:val="clear" w:color="auto" w:fill="F2F2F2" w:themeFill="background1" w:themeFillShade="F2"/>
          </w:tcPr>
          <w:p w14:paraId="6F291516" w14:textId="234B4373" w:rsidR="00745088" w:rsidRPr="00715852" w:rsidRDefault="00745088" w:rsidP="00745088">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t>Tiếp thu ý kiến của đơn vị.</w:t>
            </w:r>
          </w:p>
        </w:tc>
      </w:tr>
      <w:tr w:rsidR="00745088" w:rsidRPr="00EB690A" w14:paraId="2E0C0F64" w14:textId="77777777" w:rsidTr="00745088">
        <w:trPr>
          <w:jc w:val="center"/>
        </w:trPr>
        <w:tc>
          <w:tcPr>
            <w:tcW w:w="704" w:type="dxa"/>
          </w:tcPr>
          <w:p w14:paraId="6460174C" w14:textId="624542C9" w:rsidR="00745088" w:rsidRPr="00715852" w:rsidRDefault="00745088" w:rsidP="00745088">
            <w:pPr>
              <w:spacing w:before="60" w:after="60" w:line="240" w:lineRule="auto"/>
              <w:jc w:val="center"/>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rPr>
              <w:t>5</w:t>
            </w:r>
          </w:p>
        </w:tc>
        <w:tc>
          <w:tcPr>
            <w:tcW w:w="1843" w:type="dxa"/>
          </w:tcPr>
          <w:p w14:paraId="556AA509" w14:textId="77777777" w:rsidR="00745088" w:rsidRPr="00715852" w:rsidRDefault="00745088" w:rsidP="00745088">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t>Kho bạc Nhà nước khu vực XIII</w:t>
            </w:r>
          </w:p>
        </w:tc>
        <w:tc>
          <w:tcPr>
            <w:tcW w:w="6804" w:type="dxa"/>
          </w:tcPr>
          <w:p w14:paraId="774A2FB8" w14:textId="77777777" w:rsidR="00745088" w:rsidRPr="00715852" w:rsidRDefault="00745088" w:rsidP="00745088">
            <w:pPr>
              <w:spacing w:before="60" w:after="60" w:line="240" w:lineRule="auto"/>
              <w:jc w:val="both"/>
              <w:rPr>
                <w:rFonts w:ascii="Times New Roman" w:eastAsia="Times New Roman" w:hAnsi="Times New Roman" w:cs="Times New Roman"/>
                <w:b/>
                <w:bCs/>
                <w:noProof/>
                <w:color w:val="000000"/>
                <w:sz w:val="26"/>
                <w:szCs w:val="26"/>
                <w:lang w:val="vi-VN"/>
              </w:rPr>
            </w:pPr>
            <w:r w:rsidRPr="00715852">
              <w:rPr>
                <w:rFonts w:ascii="Times New Roman" w:eastAsia="Times New Roman" w:hAnsi="Times New Roman" w:cs="Times New Roman"/>
                <w:b/>
                <w:bCs/>
                <w:i/>
                <w:iCs/>
                <w:noProof/>
                <w:color w:val="000000"/>
                <w:sz w:val="26"/>
                <w:szCs w:val="26"/>
                <w:lang w:val="vi-VN"/>
              </w:rPr>
              <w:t>Góp ý theo đề nghị tại</w:t>
            </w:r>
            <w:r w:rsidRPr="00715852">
              <w:rPr>
                <w:rFonts w:ascii="Times New Roman" w:hAnsi="Times New Roman" w:cs="Times New Roman"/>
                <w:sz w:val="26"/>
                <w:szCs w:val="26"/>
                <w:lang w:val="vi-VN"/>
              </w:rPr>
              <w:t xml:space="preserve"> </w:t>
            </w:r>
            <w:r w:rsidRPr="00715852">
              <w:rPr>
                <w:rFonts w:ascii="Times New Roman" w:eastAsia="Times New Roman" w:hAnsi="Times New Roman" w:cs="Times New Roman"/>
                <w:b/>
                <w:bCs/>
                <w:i/>
                <w:iCs/>
                <w:noProof/>
                <w:color w:val="000000"/>
                <w:sz w:val="26"/>
                <w:szCs w:val="26"/>
                <w:lang w:val="vi-VN"/>
              </w:rPr>
              <w:t>Công văn số 954/SNNMT-CCMT:</w:t>
            </w:r>
            <w:r w:rsidRPr="00715852">
              <w:rPr>
                <w:rFonts w:ascii="Times New Roman" w:eastAsia="Times New Roman" w:hAnsi="Times New Roman" w:cs="Times New Roman"/>
                <w:b/>
                <w:bCs/>
                <w:noProof/>
                <w:color w:val="000000"/>
                <w:sz w:val="26"/>
                <w:szCs w:val="26"/>
                <w:lang w:val="vi-VN"/>
              </w:rPr>
              <w:t xml:space="preserve"> Công văn số 130/KBXIII-KTNN ngày 06/8/2025</w:t>
            </w:r>
          </w:p>
          <w:p w14:paraId="7415A3CC" w14:textId="77777777" w:rsidR="00745088" w:rsidRPr="00715852" w:rsidRDefault="00745088" w:rsidP="00745088">
            <w:pPr>
              <w:spacing w:before="60" w:after="60" w:line="240" w:lineRule="auto"/>
              <w:jc w:val="both"/>
              <w:rPr>
                <w:rFonts w:ascii="Times New Roman" w:hAnsi="Times New Roman" w:cs="Times New Roman"/>
                <w:noProof/>
                <w:sz w:val="26"/>
                <w:szCs w:val="26"/>
                <w:lang w:val="vi-VN"/>
              </w:rPr>
            </w:pPr>
            <w:r w:rsidRPr="00715852">
              <w:rPr>
                <w:rFonts w:ascii="Times New Roman" w:hAnsi="Times New Roman" w:cs="Times New Roman"/>
                <w:noProof/>
                <w:sz w:val="26"/>
                <w:szCs w:val="26"/>
                <w:lang w:val="vi-VN"/>
              </w:rPr>
              <w:t>- Nội dung dự thảo Nghị quyết phù hợp với quy định của pháp luật về quản lý thu chi ngân sách nhà nước.</w:t>
            </w:r>
          </w:p>
          <w:p w14:paraId="7D39AFFC" w14:textId="77777777" w:rsidR="00745088" w:rsidRPr="00715852" w:rsidRDefault="00745088" w:rsidP="00745088">
            <w:pPr>
              <w:spacing w:before="60" w:after="60" w:line="240" w:lineRule="auto"/>
              <w:jc w:val="both"/>
              <w:rPr>
                <w:rFonts w:ascii="Times New Roman" w:hAnsi="Times New Roman" w:cs="Times New Roman"/>
                <w:noProof/>
                <w:sz w:val="26"/>
                <w:szCs w:val="26"/>
                <w:lang w:val="vi-VN"/>
              </w:rPr>
            </w:pPr>
            <w:r w:rsidRPr="00715852">
              <w:rPr>
                <w:rFonts w:ascii="Times New Roman" w:hAnsi="Times New Roman" w:cs="Times New Roman"/>
                <w:noProof/>
                <w:sz w:val="26"/>
                <w:szCs w:val="26"/>
                <w:lang w:val="vi-VN"/>
              </w:rPr>
              <w:t>- Việc sử dụng nguồn thu từ tín chỉ các-bon để phục vụ các chương trình phát triển bền vững là cần thiết và phù hợp với định hướng chung của thành phố.</w:t>
            </w:r>
          </w:p>
          <w:p w14:paraId="29213F86" w14:textId="77777777" w:rsidR="00745088" w:rsidRPr="00715852" w:rsidRDefault="00745088" w:rsidP="00745088">
            <w:pPr>
              <w:spacing w:before="60" w:after="60" w:line="240" w:lineRule="auto"/>
              <w:jc w:val="both"/>
              <w:rPr>
                <w:rFonts w:ascii="Times New Roman" w:hAnsi="Times New Roman" w:cs="Times New Roman"/>
                <w:noProof/>
                <w:sz w:val="26"/>
                <w:szCs w:val="26"/>
                <w:lang w:val="vi-VN"/>
              </w:rPr>
            </w:pPr>
            <w:r w:rsidRPr="00715852">
              <w:rPr>
                <w:rFonts w:ascii="Times New Roman" w:hAnsi="Times New Roman" w:cs="Times New Roman"/>
                <w:noProof/>
                <w:sz w:val="26"/>
                <w:szCs w:val="26"/>
                <w:lang w:val="vi-VN"/>
              </w:rPr>
              <w:t>Do đó, Kho bạc Nhà nước khu vực XIII thống nhất với nội dung dự thảo, không có ý kiến khác.</w:t>
            </w:r>
          </w:p>
        </w:tc>
        <w:tc>
          <w:tcPr>
            <w:tcW w:w="4774" w:type="dxa"/>
          </w:tcPr>
          <w:p w14:paraId="7B8EBD96" w14:textId="77777777" w:rsidR="00745088" w:rsidRPr="00715852" w:rsidRDefault="00745088" w:rsidP="00745088">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t>Tiếp thu ý kiến của đơn vị.</w:t>
            </w:r>
          </w:p>
        </w:tc>
      </w:tr>
      <w:tr w:rsidR="00745088" w:rsidRPr="00EB690A" w14:paraId="1E7F405F" w14:textId="77777777" w:rsidTr="00745088">
        <w:trPr>
          <w:jc w:val="center"/>
        </w:trPr>
        <w:tc>
          <w:tcPr>
            <w:tcW w:w="704" w:type="dxa"/>
            <w:shd w:val="clear" w:color="auto" w:fill="F2F2F2" w:themeFill="background1" w:themeFillShade="F2"/>
          </w:tcPr>
          <w:p w14:paraId="5D892006" w14:textId="4B4D20C6" w:rsidR="00745088" w:rsidRPr="00715852" w:rsidRDefault="009364AF" w:rsidP="00745088">
            <w:pPr>
              <w:spacing w:before="60" w:after="60" w:line="240" w:lineRule="auto"/>
              <w:jc w:val="center"/>
              <w:rPr>
                <w:rFonts w:ascii="Times New Roman" w:eastAsia="Times New Roman" w:hAnsi="Times New Roman" w:cs="Times New Roman"/>
                <w:noProof/>
                <w:color w:val="000000"/>
                <w:sz w:val="26"/>
                <w:szCs w:val="26"/>
              </w:rPr>
            </w:pPr>
            <w:r>
              <w:rPr>
                <w:rFonts w:ascii="Times New Roman" w:eastAsia="Times New Roman" w:hAnsi="Times New Roman" w:cs="Times New Roman"/>
                <w:noProof/>
                <w:color w:val="000000"/>
                <w:sz w:val="26"/>
                <w:szCs w:val="26"/>
              </w:rPr>
              <w:t>6</w:t>
            </w:r>
          </w:p>
        </w:tc>
        <w:tc>
          <w:tcPr>
            <w:tcW w:w="1843" w:type="dxa"/>
            <w:shd w:val="clear" w:color="auto" w:fill="F2F2F2" w:themeFill="background1" w:themeFillShade="F2"/>
          </w:tcPr>
          <w:p w14:paraId="709E6842" w14:textId="77777777" w:rsidR="00745088" w:rsidRPr="00715852" w:rsidRDefault="00745088" w:rsidP="00745088">
            <w:pPr>
              <w:spacing w:before="60" w:after="60" w:line="240" w:lineRule="auto"/>
              <w:jc w:val="both"/>
              <w:rPr>
                <w:rFonts w:ascii="Times New Roman" w:eastAsia="Times New Roman" w:hAnsi="Times New Roman" w:cs="Times New Roman"/>
                <w:noProof/>
                <w:color w:val="000000"/>
                <w:sz w:val="26"/>
                <w:szCs w:val="26"/>
              </w:rPr>
            </w:pPr>
            <w:r w:rsidRPr="00715852">
              <w:rPr>
                <w:rFonts w:ascii="Times New Roman" w:eastAsia="Times New Roman" w:hAnsi="Times New Roman" w:cs="Times New Roman"/>
                <w:noProof/>
                <w:color w:val="000000"/>
                <w:sz w:val="26"/>
                <w:szCs w:val="26"/>
                <w:lang w:val="vi-VN"/>
              </w:rPr>
              <w:t>Cục Biến đổi khí hậu</w:t>
            </w:r>
            <w:r w:rsidRPr="00715852">
              <w:rPr>
                <w:rFonts w:ascii="Times New Roman" w:eastAsia="Times New Roman" w:hAnsi="Times New Roman" w:cs="Times New Roman"/>
                <w:noProof/>
                <w:color w:val="000000"/>
                <w:sz w:val="26"/>
                <w:szCs w:val="26"/>
              </w:rPr>
              <w:t xml:space="preserve"> (Bộ NN&amp;MT)</w:t>
            </w:r>
          </w:p>
        </w:tc>
        <w:tc>
          <w:tcPr>
            <w:tcW w:w="6804" w:type="dxa"/>
            <w:shd w:val="clear" w:color="auto" w:fill="F2F2F2" w:themeFill="background1" w:themeFillShade="F2"/>
          </w:tcPr>
          <w:p w14:paraId="0812A344" w14:textId="77777777" w:rsidR="00745088" w:rsidRPr="00715852" w:rsidRDefault="00745088" w:rsidP="00745088">
            <w:pPr>
              <w:spacing w:before="60" w:after="60" w:line="240" w:lineRule="auto"/>
              <w:jc w:val="both"/>
              <w:rPr>
                <w:rFonts w:ascii="Times New Roman" w:hAnsi="Times New Roman" w:cs="Times New Roman"/>
                <w:noProof/>
                <w:sz w:val="26"/>
                <w:szCs w:val="26"/>
                <w:lang w:val="vi-VN"/>
              </w:rPr>
            </w:pPr>
            <w:r w:rsidRPr="00715852">
              <w:rPr>
                <w:rFonts w:ascii="Times New Roman" w:eastAsia="Times New Roman" w:hAnsi="Times New Roman" w:cs="Times New Roman"/>
                <w:b/>
                <w:bCs/>
                <w:i/>
                <w:iCs/>
                <w:noProof/>
                <w:color w:val="000000"/>
                <w:sz w:val="26"/>
                <w:szCs w:val="26"/>
                <w:lang w:val="vi-VN"/>
              </w:rPr>
              <w:t>Góp ý theo đề nghị tại</w:t>
            </w:r>
            <w:r w:rsidRPr="00715852">
              <w:rPr>
                <w:rFonts w:ascii="Times New Roman" w:hAnsi="Times New Roman" w:cs="Times New Roman"/>
                <w:sz w:val="26"/>
                <w:szCs w:val="26"/>
                <w:lang w:val="vi-VN"/>
              </w:rPr>
              <w:t xml:space="preserve"> </w:t>
            </w:r>
            <w:r w:rsidRPr="00715852">
              <w:rPr>
                <w:rFonts w:ascii="Times New Roman" w:eastAsia="Times New Roman" w:hAnsi="Times New Roman" w:cs="Times New Roman"/>
                <w:b/>
                <w:bCs/>
                <w:i/>
                <w:iCs/>
                <w:noProof/>
                <w:color w:val="000000"/>
                <w:sz w:val="26"/>
                <w:szCs w:val="26"/>
                <w:lang w:val="vi-VN"/>
              </w:rPr>
              <w:t>Công văn số 367/SNNMT-CCMT:</w:t>
            </w:r>
            <w:r w:rsidRPr="00715852">
              <w:rPr>
                <w:rFonts w:ascii="Times New Roman" w:eastAsia="Times New Roman" w:hAnsi="Times New Roman" w:cs="Times New Roman"/>
                <w:b/>
                <w:bCs/>
                <w:noProof/>
                <w:color w:val="000000"/>
                <w:sz w:val="26"/>
                <w:szCs w:val="26"/>
                <w:lang w:val="vi-VN"/>
              </w:rPr>
              <w:t xml:space="preserve"> Công văn số 730/BĐKH-TTCB ngày 05/8/2025</w:t>
            </w:r>
          </w:p>
          <w:p w14:paraId="4E0E21C6" w14:textId="77777777" w:rsidR="00745088" w:rsidRPr="00715852" w:rsidRDefault="00745088" w:rsidP="00745088">
            <w:pPr>
              <w:spacing w:before="60" w:after="60" w:line="240" w:lineRule="auto"/>
              <w:jc w:val="both"/>
              <w:rPr>
                <w:rFonts w:ascii="Times New Roman" w:hAnsi="Times New Roman" w:cs="Times New Roman"/>
                <w:noProof/>
                <w:sz w:val="26"/>
                <w:szCs w:val="26"/>
                <w:lang w:val="vi-VN"/>
              </w:rPr>
            </w:pPr>
            <w:r w:rsidRPr="00715852">
              <w:rPr>
                <w:rFonts w:ascii="Times New Roman" w:hAnsi="Times New Roman" w:cs="Times New Roman"/>
                <w:noProof/>
                <w:sz w:val="26"/>
                <w:szCs w:val="26"/>
                <w:lang w:val="vi-VN"/>
              </w:rPr>
              <w:t xml:space="preserve">Nội dung dự thảo Nghị quyết được xây dựng phù hợp với quy định tại khoản 7 Điều 10 Nghị quyết số 136/2024/QH15 ngày 26 tháng 6 năm 2024 của Quốc hội về tổ chức chính quyền đô thị và thí điểm một số cơ chế, chính sách đặc thù phát triển thành phố Đà Nẵng. Tuy nhiên, để đảm bảo quy định đầy đủ các hoạt động sử dụng nguồn thu theo quy định tại điểm c khoản 7 Điều 10 Nghị quyết số 136/2024/QH15, đề nghị Quý Sở sửa cụm từ </w:t>
            </w:r>
            <w:r w:rsidRPr="00715852">
              <w:rPr>
                <w:rFonts w:ascii="Times New Roman" w:hAnsi="Times New Roman" w:cs="Times New Roman"/>
                <w:noProof/>
                <w:sz w:val="26"/>
                <w:szCs w:val="26"/>
                <w:lang w:val="vi-VN"/>
              </w:rPr>
              <w:lastRenderedPageBreak/>
              <w:t>“giảm phát thải khí nhà kính” thành “ứng phó với biến đổi khí hậu” tại điểm a khoản 2 Điều 2 dự thảo Nghị quyết.</w:t>
            </w:r>
          </w:p>
        </w:tc>
        <w:tc>
          <w:tcPr>
            <w:tcW w:w="4774" w:type="dxa"/>
            <w:shd w:val="clear" w:color="auto" w:fill="F2F2F2" w:themeFill="background1" w:themeFillShade="F2"/>
          </w:tcPr>
          <w:p w14:paraId="0F327A01" w14:textId="77777777" w:rsidR="00745088" w:rsidRPr="00715852" w:rsidRDefault="00745088" w:rsidP="00745088">
            <w:pPr>
              <w:spacing w:before="60" w:after="60" w:line="240" w:lineRule="auto"/>
              <w:jc w:val="both"/>
              <w:rPr>
                <w:rFonts w:ascii="Times New Roman" w:eastAsia="Times New Roman" w:hAnsi="Times New Roman" w:cs="Times New Roman"/>
                <w:noProof/>
                <w:color w:val="000000"/>
                <w:sz w:val="26"/>
                <w:szCs w:val="26"/>
                <w:lang w:val="vi-VN"/>
              </w:rPr>
            </w:pPr>
            <w:r w:rsidRPr="00715852">
              <w:rPr>
                <w:rFonts w:ascii="Times New Roman" w:eastAsia="Times New Roman" w:hAnsi="Times New Roman" w:cs="Times New Roman"/>
                <w:noProof/>
                <w:color w:val="000000"/>
                <w:sz w:val="26"/>
                <w:szCs w:val="26"/>
                <w:lang w:val="vi-VN"/>
              </w:rPr>
              <w:lastRenderedPageBreak/>
              <w:t>Đã chỉnh sửa theo góp ý của đơn vị.</w:t>
            </w:r>
          </w:p>
        </w:tc>
      </w:tr>
    </w:tbl>
    <w:p w14:paraId="6FABD2E0" w14:textId="37D3B88E" w:rsidR="00905823" w:rsidRPr="00715852" w:rsidRDefault="00C65C57" w:rsidP="000A6832">
      <w:pPr>
        <w:shd w:val="clear" w:color="auto" w:fill="FFFFFF"/>
        <w:spacing w:before="120" w:after="120" w:line="240" w:lineRule="auto"/>
        <w:ind w:firstLine="720"/>
        <w:jc w:val="both"/>
        <w:rPr>
          <w:rStyle w:val="fontstyle01"/>
          <w:rFonts w:ascii="Times New Roman" w:hAnsi="Times New Roman" w:cs="Times New Roman"/>
          <w:noProof/>
          <w:lang w:val="vi-VN"/>
        </w:rPr>
      </w:pPr>
      <w:r w:rsidRPr="00715852">
        <w:rPr>
          <w:rStyle w:val="fontstyle01"/>
          <w:rFonts w:ascii="Times New Roman" w:hAnsi="Times New Roman" w:cs="Times New Roman"/>
          <w:b/>
          <w:bCs/>
          <w:i/>
          <w:iCs/>
          <w:noProof/>
          <w:lang w:val="vi-VN"/>
        </w:rPr>
        <w:t>Các đơn vị không có văn bản phản hồi:</w:t>
      </w:r>
      <w:r w:rsidRPr="00715852">
        <w:rPr>
          <w:rStyle w:val="fontstyle01"/>
          <w:rFonts w:ascii="Times New Roman" w:hAnsi="Times New Roman" w:cs="Times New Roman"/>
          <w:noProof/>
          <w:lang w:val="vi-VN"/>
        </w:rPr>
        <w:t xml:space="preserve"> Sở Xây dựng, Bộ Tài chính.</w:t>
      </w:r>
    </w:p>
    <w:p w14:paraId="0140EA8A" w14:textId="091E70F6" w:rsidR="008C2084" w:rsidRPr="00EB690A" w:rsidRDefault="008C2084" w:rsidP="00D56AEF">
      <w:pPr>
        <w:spacing w:before="120"/>
        <w:jc w:val="both"/>
        <w:rPr>
          <w:rFonts w:ascii="Times New Roman" w:hAnsi="Times New Roman" w:cs="Times New Roman"/>
          <w:bCs/>
          <w:noProof/>
          <w:sz w:val="28"/>
          <w:szCs w:val="28"/>
          <w:lang w:val="vi-VN"/>
        </w:rPr>
      </w:pPr>
    </w:p>
    <w:sectPr w:rsidR="008C2084" w:rsidRPr="00EB690A" w:rsidSect="000A6832">
      <w:headerReference w:type="default" r:id="rId8"/>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791A" w14:textId="77777777" w:rsidR="008E3E8F" w:rsidRDefault="008E3E8F" w:rsidP="002829E9">
      <w:pPr>
        <w:spacing w:after="0" w:line="240" w:lineRule="auto"/>
      </w:pPr>
      <w:r>
        <w:separator/>
      </w:r>
    </w:p>
  </w:endnote>
  <w:endnote w:type="continuationSeparator" w:id="0">
    <w:p w14:paraId="48884C79" w14:textId="77777777" w:rsidR="008E3E8F" w:rsidRDefault="008E3E8F" w:rsidP="00282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SimSun"/>
    <w:panose1 w:val="00000000000000000000"/>
    <w:charset w:val="00"/>
    <w:family w:val="roman"/>
    <w:notTrueType/>
    <w:pitch w:val="default"/>
  </w:font>
  <w:font w:name=".VnTimeH">
    <w:charset w:val="00"/>
    <w:family w:val="swiss"/>
    <w:pitch w:val="variable"/>
    <w:sig w:usb0="00000007" w:usb1="00000000" w:usb2="00000000" w:usb3="00000000" w:csb0="0000001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AFAF4" w14:textId="77777777" w:rsidR="008E3E8F" w:rsidRDefault="008E3E8F" w:rsidP="002829E9">
      <w:pPr>
        <w:spacing w:after="0" w:line="240" w:lineRule="auto"/>
      </w:pPr>
      <w:r>
        <w:separator/>
      </w:r>
    </w:p>
  </w:footnote>
  <w:footnote w:type="continuationSeparator" w:id="0">
    <w:p w14:paraId="15D3A7D5" w14:textId="77777777" w:rsidR="008E3E8F" w:rsidRDefault="008E3E8F" w:rsidP="002829E9">
      <w:pPr>
        <w:spacing w:after="0" w:line="240" w:lineRule="auto"/>
      </w:pPr>
      <w:r>
        <w:continuationSeparator/>
      </w:r>
    </w:p>
  </w:footnote>
  <w:footnote w:id="1">
    <w:p w14:paraId="78D66C51" w14:textId="6EBE09B8" w:rsidR="0094493A" w:rsidRPr="0094493A" w:rsidRDefault="0094493A">
      <w:pPr>
        <w:pStyle w:val="FootnoteText"/>
        <w:rPr>
          <w:lang w:val="en-US"/>
        </w:rPr>
      </w:pPr>
      <w:r>
        <w:rPr>
          <w:rStyle w:val="FootnoteReference"/>
        </w:rPr>
        <w:footnoteRef/>
      </w:r>
      <w:r>
        <w:t xml:space="preserve"> </w:t>
      </w:r>
      <w:proofErr w:type="spellStart"/>
      <w:r>
        <w:rPr>
          <w:lang w:val="en-US"/>
        </w:rPr>
        <w:t>Đã</w:t>
      </w:r>
      <w:proofErr w:type="spellEnd"/>
      <w:r>
        <w:rPr>
          <w:lang w:val="en-US"/>
        </w:rPr>
        <w:t xml:space="preserve"> </w:t>
      </w:r>
      <w:proofErr w:type="spellStart"/>
      <w:r>
        <w:rPr>
          <w:lang w:val="en-US"/>
        </w:rPr>
        <w:t>giải</w:t>
      </w:r>
      <w:proofErr w:type="spellEnd"/>
      <w:r>
        <w:rPr>
          <w:lang w:val="en-US"/>
        </w:rPr>
        <w:t xml:space="preserve"> </w:t>
      </w:r>
      <w:proofErr w:type="spellStart"/>
      <w:r>
        <w:rPr>
          <w:lang w:val="en-US"/>
        </w:rPr>
        <w:t>trình</w:t>
      </w:r>
      <w:proofErr w:type="spellEnd"/>
      <w:r>
        <w:rPr>
          <w:lang w:val="en-US"/>
        </w:rPr>
        <w:t xml:space="preserve"> </w:t>
      </w:r>
      <w:proofErr w:type="spellStart"/>
      <w:r>
        <w:rPr>
          <w:lang w:val="en-US"/>
        </w:rPr>
        <w:t>liên</w:t>
      </w:r>
      <w:proofErr w:type="spellEnd"/>
      <w:r>
        <w:rPr>
          <w:lang w:val="en-US"/>
        </w:rPr>
        <w:t xml:space="preserve"> </w:t>
      </w:r>
      <w:proofErr w:type="spellStart"/>
      <w:r>
        <w:rPr>
          <w:lang w:val="en-US"/>
        </w:rPr>
        <w:t>quan</w:t>
      </w:r>
      <w:proofErr w:type="spellEnd"/>
      <w:r>
        <w:rPr>
          <w:lang w:val="en-US"/>
        </w:rPr>
        <w:t xml:space="preserve"> </w:t>
      </w:r>
      <w:proofErr w:type="spellStart"/>
      <w:r>
        <w:rPr>
          <w:lang w:val="en-US"/>
        </w:rPr>
        <w:t>đến</w:t>
      </w:r>
      <w:proofErr w:type="spellEnd"/>
      <w:r>
        <w:rPr>
          <w:lang w:val="en-US"/>
        </w:rPr>
        <w:t xml:space="preserve"> </w:t>
      </w:r>
      <w:proofErr w:type="spellStart"/>
      <w:r>
        <w:rPr>
          <w:lang w:val="en-US"/>
        </w:rPr>
        <w:t>nội</w:t>
      </w:r>
      <w:proofErr w:type="spellEnd"/>
      <w:r>
        <w:rPr>
          <w:lang w:val="en-US"/>
        </w:rPr>
        <w:t xml:space="preserve"> dung </w:t>
      </w:r>
      <w:proofErr w:type="spellStart"/>
      <w:r>
        <w:rPr>
          <w:lang w:val="en-US"/>
        </w:rPr>
        <w:t>này</w:t>
      </w:r>
      <w:proofErr w:type="spellEnd"/>
      <w:r>
        <w:rPr>
          <w:lang w:val="en-US"/>
        </w:rPr>
        <w:t xml:space="preserve"> </w:t>
      </w:r>
      <w:proofErr w:type="spellStart"/>
      <w:r>
        <w:rPr>
          <w:lang w:val="en-US"/>
        </w:rPr>
        <w:t>tại</w:t>
      </w:r>
      <w:proofErr w:type="spellEnd"/>
      <w:r>
        <w:rPr>
          <w:lang w:val="en-US"/>
        </w:rPr>
        <w:t xml:space="preserve"> </w:t>
      </w:r>
      <w:proofErr w:type="spellStart"/>
      <w:r>
        <w:rPr>
          <w:lang w:val="en-US"/>
        </w:rPr>
        <w:t>văn</w:t>
      </w:r>
      <w:proofErr w:type="spellEnd"/>
      <w:r>
        <w:rPr>
          <w:lang w:val="en-US"/>
        </w:rPr>
        <w:t xml:space="preserve"> </w:t>
      </w:r>
      <w:proofErr w:type="spellStart"/>
      <w:r>
        <w:rPr>
          <w:lang w:val="en-US"/>
        </w:rPr>
        <w:t>bản</w:t>
      </w:r>
      <w:proofErr w:type="spellEnd"/>
      <w:r>
        <w:rPr>
          <w:lang w:val="en-US"/>
        </w:rPr>
        <w:t xml:space="preserve"> </w:t>
      </w:r>
      <w:proofErr w:type="spellStart"/>
      <w:r>
        <w:rPr>
          <w:lang w:val="en-US"/>
        </w:rPr>
        <w:t>đề</w:t>
      </w:r>
      <w:proofErr w:type="spellEnd"/>
      <w:r>
        <w:rPr>
          <w:lang w:val="en-US"/>
        </w:rPr>
        <w:t xml:space="preserve"> </w:t>
      </w:r>
      <w:proofErr w:type="spellStart"/>
      <w:r>
        <w:rPr>
          <w:lang w:val="en-US"/>
        </w:rPr>
        <w:t>nghị</w:t>
      </w:r>
      <w:proofErr w:type="spellEnd"/>
      <w:r>
        <w:rPr>
          <w:lang w:val="en-US"/>
        </w:rPr>
        <w:t xml:space="preserve"> </w:t>
      </w:r>
      <w:proofErr w:type="spellStart"/>
      <w:r>
        <w:rPr>
          <w:lang w:val="en-US"/>
        </w:rPr>
        <w:t>thẩm</w:t>
      </w:r>
      <w:proofErr w:type="spellEnd"/>
      <w:r>
        <w:rPr>
          <w:lang w:val="en-US"/>
        </w:rPr>
        <w:t xml:space="preserve"> </w:t>
      </w:r>
      <w:proofErr w:type="spellStart"/>
      <w:r>
        <w:rPr>
          <w:lang w:val="en-US"/>
        </w:rPr>
        <w:t>định</w:t>
      </w:r>
      <w:proofErr w:type="spellEnd"/>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758710053"/>
      <w:docPartObj>
        <w:docPartGallery w:val="Page Numbers (Top of Page)"/>
        <w:docPartUnique/>
      </w:docPartObj>
    </w:sdtPr>
    <w:sdtEndPr>
      <w:rPr>
        <w:noProof/>
      </w:rPr>
    </w:sdtEndPr>
    <w:sdtContent>
      <w:p w14:paraId="7DD51CBE" w14:textId="285A858A" w:rsidR="00704CA1" w:rsidRPr="000A6832" w:rsidRDefault="00704CA1">
        <w:pPr>
          <w:pStyle w:val="Header"/>
          <w:jc w:val="center"/>
          <w:rPr>
            <w:rFonts w:ascii="Times New Roman" w:hAnsi="Times New Roman" w:cs="Times New Roman"/>
            <w:sz w:val="20"/>
            <w:szCs w:val="20"/>
          </w:rPr>
        </w:pPr>
        <w:r w:rsidRPr="000A6832">
          <w:rPr>
            <w:rFonts w:ascii="Times New Roman" w:hAnsi="Times New Roman" w:cs="Times New Roman"/>
            <w:sz w:val="20"/>
            <w:szCs w:val="20"/>
          </w:rPr>
          <w:fldChar w:fldCharType="begin"/>
        </w:r>
        <w:r w:rsidRPr="000A6832">
          <w:rPr>
            <w:rFonts w:ascii="Times New Roman" w:hAnsi="Times New Roman" w:cs="Times New Roman"/>
            <w:sz w:val="20"/>
            <w:szCs w:val="20"/>
          </w:rPr>
          <w:instrText xml:space="preserve"> PAGE   \* MERGEFORMAT </w:instrText>
        </w:r>
        <w:r w:rsidRPr="000A6832">
          <w:rPr>
            <w:rFonts w:ascii="Times New Roman" w:hAnsi="Times New Roman" w:cs="Times New Roman"/>
            <w:sz w:val="20"/>
            <w:szCs w:val="20"/>
          </w:rPr>
          <w:fldChar w:fldCharType="separate"/>
        </w:r>
        <w:r w:rsidRPr="000A6832">
          <w:rPr>
            <w:rFonts w:ascii="Times New Roman" w:hAnsi="Times New Roman" w:cs="Times New Roman"/>
            <w:noProof/>
            <w:sz w:val="20"/>
            <w:szCs w:val="20"/>
          </w:rPr>
          <w:t>2</w:t>
        </w:r>
        <w:r w:rsidRPr="000A6832">
          <w:rPr>
            <w:rFonts w:ascii="Times New Roman" w:hAnsi="Times New Roman" w:cs="Times New Roman"/>
            <w:noProof/>
            <w:sz w:val="20"/>
            <w:szCs w:val="20"/>
          </w:rPr>
          <w:fldChar w:fldCharType="end"/>
        </w:r>
      </w:p>
    </w:sdtContent>
  </w:sdt>
  <w:p w14:paraId="54D26603" w14:textId="77777777" w:rsidR="00704CA1" w:rsidRPr="000A6832" w:rsidRDefault="00704CA1">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52308"/>
    <w:multiLevelType w:val="hybridMultilevel"/>
    <w:tmpl w:val="F2D8EEA0"/>
    <w:lvl w:ilvl="0" w:tplc="0DA4B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1829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ADF"/>
    <w:rsid w:val="00000E8F"/>
    <w:rsid w:val="00033254"/>
    <w:rsid w:val="000342E4"/>
    <w:rsid w:val="0004036C"/>
    <w:rsid w:val="000413EC"/>
    <w:rsid w:val="00050495"/>
    <w:rsid w:val="00061B8B"/>
    <w:rsid w:val="00066568"/>
    <w:rsid w:val="00087B0C"/>
    <w:rsid w:val="000A6832"/>
    <w:rsid w:val="000E44D8"/>
    <w:rsid w:val="000E5D16"/>
    <w:rsid w:val="00105635"/>
    <w:rsid w:val="001221ED"/>
    <w:rsid w:val="00124264"/>
    <w:rsid w:val="00125917"/>
    <w:rsid w:val="001308F0"/>
    <w:rsid w:val="00172AE7"/>
    <w:rsid w:val="00194ADF"/>
    <w:rsid w:val="00197C84"/>
    <w:rsid w:val="001A1EB9"/>
    <w:rsid w:val="001B1761"/>
    <w:rsid w:val="001F2AD2"/>
    <w:rsid w:val="002024B1"/>
    <w:rsid w:val="00210059"/>
    <w:rsid w:val="0023706A"/>
    <w:rsid w:val="002379B7"/>
    <w:rsid w:val="00274D82"/>
    <w:rsid w:val="002829E9"/>
    <w:rsid w:val="0029444D"/>
    <w:rsid w:val="002A300D"/>
    <w:rsid w:val="002B2C8E"/>
    <w:rsid w:val="002D6FE7"/>
    <w:rsid w:val="002D715E"/>
    <w:rsid w:val="002F03F8"/>
    <w:rsid w:val="00340202"/>
    <w:rsid w:val="00340C1F"/>
    <w:rsid w:val="00342AB0"/>
    <w:rsid w:val="00345474"/>
    <w:rsid w:val="003A287F"/>
    <w:rsid w:val="003B2F1C"/>
    <w:rsid w:val="003B39A0"/>
    <w:rsid w:val="003E6D7D"/>
    <w:rsid w:val="003F1211"/>
    <w:rsid w:val="00401370"/>
    <w:rsid w:val="00413308"/>
    <w:rsid w:val="0045758A"/>
    <w:rsid w:val="004601D7"/>
    <w:rsid w:val="00470AA2"/>
    <w:rsid w:val="00472BFA"/>
    <w:rsid w:val="0047484B"/>
    <w:rsid w:val="00485C77"/>
    <w:rsid w:val="004A0FA8"/>
    <w:rsid w:val="004B0A98"/>
    <w:rsid w:val="004B2FEC"/>
    <w:rsid w:val="004F353A"/>
    <w:rsid w:val="0051752E"/>
    <w:rsid w:val="005204A7"/>
    <w:rsid w:val="005431E9"/>
    <w:rsid w:val="0054397C"/>
    <w:rsid w:val="00543D26"/>
    <w:rsid w:val="00573037"/>
    <w:rsid w:val="00573AD9"/>
    <w:rsid w:val="00592F98"/>
    <w:rsid w:val="005A2352"/>
    <w:rsid w:val="005A5336"/>
    <w:rsid w:val="005C3223"/>
    <w:rsid w:val="005D1AE6"/>
    <w:rsid w:val="005E1DA9"/>
    <w:rsid w:val="005E2D91"/>
    <w:rsid w:val="00661F1D"/>
    <w:rsid w:val="0067008C"/>
    <w:rsid w:val="006A1997"/>
    <w:rsid w:val="006A50CB"/>
    <w:rsid w:val="006B57C4"/>
    <w:rsid w:val="006C5853"/>
    <w:rsid w:val="006E45FC"/>
    <w:rsid w:val="006E6932"/>
    <w:rsid w:val="00704CA1"/>
    <w:rsid w:val="00715852"/>
    <w:rsid w:val="00740735"/>
    <w:rsid w:val="00745088"/>
    <w:rsid w:val="007544CC"/>
    <w:rsid w:val="00756AB4"/>
    <w:rsid w:val="007636DB"/>
    <w:rsid w:val="0078650D"/>
    <w:rsid w:val="007A1324"/>
    <w:rsid w:val="007A1DC7"/>
    <w:rsid w:val="007B514D"/>
    <w:rsid w:val="007D3473"/>
    <w:rsid w:val="00811CAC"/>
    <w:rsid w:val="00821AD1"/>
    <w:rsid w:val="00834FC9"/>
    <w:rsid w:val="008374B8"/>
    <w:rsid w:val="0085189E"/>
    <w:rsid w:val="0088663A"/>
    <w:rsid w:val="0089644E"/>
    <w:rsid w:val="008A1120"/>
    <w:rsid w:val="008C2084"/>
    <w:rsid w:val="008D3FF1"/>
    <w:rsid w:val="008E08C2"/>
    <w:rsid w:val="008E3E8F"/>
    <w:rsid w:val="008F76DC"/>
    <w:rsid w:val="00905823"/>
    <w:rsid w:val="00915E0F"/>
    <w:rsid w:val="0091710C"/>
    <w:rsid w:val="0092069F"/>
    <w:rsid w:val="009364AF"/>
    <w:rsid w:val="0094493A"/>
    <w:rsid w:val="00944DDC"/>
    <w:rsid w:val="00950709"/>
    <w:rsid w:val="00973C8E"/>
    <w:rsid w:val="009A36B2"/>
    <w:rsid w:val="009B437D"/>
    <w:rsid w:val="009B57CB"/>
    <w:rsid w:val="009E0F4A"/>
    <w:rsid w:val="009E7289"/>
    <w:rsid w:val="00A04A6E"/>
    <w:rsid w:val="00A25142"/>
    <w:rsid w:val="00A45FE4"/>
    <w:rsid w:val="00A476FA"/>
    <w:rsid w:val="00A60716"/>
    <w:rsid w:val="00A706B5"/>
    <w:rsid w:val="00A80916"/>
    <w:rsid w:val="00A83FA2"/>
    <w:rsid w:val="00A84DEC"/>
    <w:rsid w:val="00AA30CE"/>
    <w:rsid w:val="00AA3C6A"/>
    <w:rsid w:val="00AA7B12"/>
    <w:rsid w:val="00AB39FF"/>
    <w:rsid w:val="00AE061A"/>
    <w:rsid w:val="00B35D46"/>
    <w:rsid w:val="00B412E1"/>
    <w:rsid w:val="00B41C96"/>
    <w:rsid w:val="00B756AC"/>
    <w:rsid w:val="00BB3973"/>
    <w:rsid w:val="00BB3DFE"/>
    <w:rsid w:val="00BB4B36"/>
    <w:rsid w:val="00BE60C9"/>
    <w:rsid w:val="00BE7BFE"/>
    <w:rsid w:val="00BF2AED"/>
    <w:rsid w:val="00C10C43"/>
    <w:rsid w:val="00C21ADF"/>
    <w:rsid w:val="00C33A0E"/>
    <w:rsid w:val="00C511F7"/>
    <w:rsid w:val="00C636D4"/>
    <w:rsid w:val="00C65C57"/>
    <w:rsid w:val="00C65DEB"/>
    <w:rsid w:val="00C8078C"/>
    <w:rsid w:val="00CA1D06"/>
    <w:rsid w:val="00CA328D"/>
    <w:rsid w:val="00CA6043"/>
    <w:rsid w:val="00CB673A"/>
    <w:rsid w:val="00CD5E5C"/>
    <w:rsid w:val="00D104E4"/>
    <w:rsid w:val="00D235A1"/>
    <w:rsid w:val="00D26A7A"/>
    <w:rsid w:val="00D544C0"/>
    <w:rsid w:val="00D56AEF"/>
    <w:rsid w:val="00DA482F"/>
    <w:rsid w:val="00DD2C99"/>
    <w:rsid w:val="00DE1B43"/>
    <w:rsid w:val="00DE663B"/>
    <w:rsid w:val="00DF1C4C"/>
    <w:rsid w:val="00E05C69"/>
    <w:rsid w:val="00E12362"/>
    <w:rsid w:val="00E214A1"/>
    <w:rsid w:val="00E409D5"/>
    <w:rsid w:val="00E55F54"/>
    <w:rsid w:val="00E648B0"/>
    <w:rsid w:val="00E65D7B"/>
    <w:rsid w:val="00E853F6"/>
    <w:rsid w:val="00EB690A"/>
    <w:rsid w:val="00EF5B3A"/>
    <w:rsid w:val="00F14D81"/>
    <w:rsid w:val="00F24058"/>
    <w:rsid w:val="00F44D21"/>
    <w:rsid w:val="00F5238F"/>
    <w:rsid w:val="00F544AB"/>
    <w:rsid w:val="00FA3355"/>
    <w:rsid w:val="00FB0B8F"/>
    <w:rsid w:val="00FB5014"/>
    <w:rsid w:val="00FC45FD"/>
    <w:rsid w:val="00FE4E4A"/>
    <w:rsid w:val="00FF23E4"/>
    <w:rsid w:val="00FF5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AF8D7"/>
  <w15:chartTrackingRefBased/>
  <w15:docId w15:val="{62F7B7BF-B156-4DA0-8B9A-BE5EB959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AD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21ADF"/>
    <w:rPr>
      <w:b/>
      <w:bC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t,fn,A"/>
    <w:basedOn w:val="Normal"/>
    <w:link w:val="FootnoteTextChar"/>
    <w:qFormat/>
    <w:rsid w:val="00C21ADF"/>
    <w:pPr>
      <w:spacing w:after="0" w:line="240" w:lineRule="auto"/>
    </w:pPr>
    <w:rPr>
      <w:rFonts w:ascii="Times New Roman" w:eastAsia="Times New Roman" w:hAnsi="Times New Roman" w:cs="Times New Roman"/>
      <w:sz w:val="20"/>
      <w:szCs w:val="20"/>
      <w:lang w:val="vi-VN" w:eastAsia="vi-V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t Char,fn Char,A Char"/>
    <w:basedOn w:val="DefaultParagraphFont"/>
    <w:link w:val="FootnoteText"/>
    <w:uiPriority w:val="99"/>
    <w:qFormat/>
    <w:rsid w:val="00C21ADF"/>
    <w:rPr>
      <w:rFonts w:ascii="Times New Roman" w:eastAsia="Times New Roman" w:hAnsi="Times New Roman" w:cs="Times New Roman"/>
      <w:sz w:val="20"/>
      <w:szCs w:val="20"/>
      <w:lang w:val="vi-VN" w:eastAsia="vi-VN"/>
    </w:rPr>
  </w:style>
  <w:style w:type="paragraph" w:styleId="NormalWeb">
    <w:name w:val="Normal (Web)"/>
    <w:aliases w:val="Char Char Char Char Char Char Char Char Char Char,Char Char Char Char Char Char Char Char Char Char Char,Normal (Web) Char Char, Char Char25,Char Char25, Char Char Char,Char Char Char"/>
    <w:basedOn w:val="Normal"/>
    <w:link w:val="NormalWebChar"/>
    <w:rsid w:val="00C21ADF"/>
    <w:pPr>
      <w:spacing w:before="100" w:beforeAutospacing="1" w:after="100" w:afterAutospacing="1" w:line="240" w:lineRule="auto"/>
    </w:pPr>
    <w:rPr>
      <w:rFonts w:ascii="Verdana" w:eastAsia="Times New Roman" w:hAnsi="Verdana" w:cs="Times New Roman"/>
      <w:sz w:val="24"/>
      <w:szCs w:val="24"/>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
    <w:link w:val="NormalWeb"/>
    <w:rsid w:val="00C21ADF"/>
    <w:rPr>
      <w:rFonts w:ascii="Verdana" w:eastAsia="Times New Roman" w:hAnsi="Verdana" w:cs="Times New Roman"/>
      <w:sz w:val="24"/>
      <w:szCs w:val="24"/>
    </w:rPr>
  </w:style>
  <w:style w:type="character" w:customStyle="1" w:styleId="text">
    <w:name w:val="text"/>
    <w:rsid w:val="00C21ADF"/>
  </w:style>
  <w:style w:type="character" w:styleId="FootnoteReference">
    <w:name w:val="footnote reference"/>
    <w:aliases w:val="Footnote,Footnote text,ftref,BearingPoint,16 Point,Superscript 6 Point,fr,Footnote Text1,f,Ref,de nota al pie,Footnote + Arial,10 pt,Black,Footnote Text11,BVI fnr,(NECG) Footnote Reference,footnote reference,footnote ref,f1, BVI fnr"/>
    <w:uiPriority w:val="99"/>
    <w:qFormat/>
    <w:rsid w:val="002829E9"/>
    <w:rPr>
      <w:vertAlign w:val="superscript"/>
    </w:rPr>
  </w:style>
  <w:style w:type="character" w:customStyle="1" w:styleId="fontstyle01">
    <w:name w:val="fontstyle01"/>
    <w:basedOn w:val="DefaultParagraphFont"/>
    <w:rsid w:val="007636DB"/>
    <w:rPr>
      <w:rFonts w:ascii="TimesNewRomanPSMT" w:hAnsi="TimesNewRomanPSMT" w:hint="default"/>
      <w:b w:val="0"/>
      <w:bCs w:val="0"/>
      <w:i w:val="0"/>
      <w:iCs w:val="0"/>
      <w:color w:val="000000"/>
      <w:sz w:val="28"/>
      <w:szCs w:val="28"/>
    </w:rPr>
  </w:style>
  <w:style w:type="paragraph" w:styleId="Title">
    <w:name w:val="Title"/>
    <w:basedOn w:val="Normal"/>
    <w:link w:val="TitleChar"/>
    <w:uiPriority w:val="99"/>
    <w:qFormat/>
    <w:rsid w:val="004F353A"/>
    <w:pPr>
      <w:spacing w:after="0" w:line="240" w:lineRule="auto"/>
      <w:jc w:val="center"/>
    </w:pPr>
    <w:rPr>
      <w:rFonts w:ascii=".VnTimeH" w:eastAsia="Times New Roman" w:hAnsi=".VnTimeH" w:cs=".VnTimeH"/>
      <w:b/>
      <w:bCs/>
      <w:sz w:val="26"/>
      <w:szCs w:val="26"/>
      <w:lang w:val="en-GB"/>
    </w:rPr>
  </w:style>
  <w:style w:type="character" w:customStyle="1" w:styleId="TitleChar">
    <w:name w:val="Title Char"/>
    <w:basedOn w:val="DefaultParagraphFont"/>
    <w:link w:val="Title"/>
    <w:uiPriority w:val="99"/>
    <w:rsid w:val="004F353A"/>
    <w:rPr>
      <w:rFonts w:ascii=".VnTimeH" w:eastAsia="Times New Roman" w:hAnsi=".VnTimeH" w:cs=".VnTimeH"/>
      <w:b/>
      <w:bCs/>
      <w:sz w:val="26"/>
      <w:szCs w:val="26"/>
      <w:lang w:val="en-GB"/>
    </w:rPr>
  </w:style>
  <w:style w:type="paragraph" w:styleId="Header">
    <w:name w:val="header"/>
    <w:basedOn w:val="Normal"/>
    <w:link w:val="HeaderChar"/>
    <w:uiPriority w:val="99"/>
    <w:unhideWhenUsed/>
    <w:rsid w:val="00704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CA1"/>
  </w:style>
  <w:style w:type="paragraph" w:styleId="Footer">
    <w:name w:val="footer"/>
    <w:basedOn w:val="Normal"/>
    <w:link w:val="FooterChar"/>
    <w:uiPriority w:val="99"/>
    <w:unhideWhenUsed/>
    <w:rsid w:val="00704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CA1"/>
  </w:style>
  <w:style w:type="paragraph" w:styleId="ListParagraph">
    <w:name w:val="List Paragraph"/>
    <w:basedOn w:val="Normal"/>
    <w:uiPriority w:val="34"/>
    <w:qFormat/>
    <w:rsid w:val="001A1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443777">
      <w:bodyDiv w:val="1"/>
      <w:marLeft w:val="0"/>
      <w:marRight w:val="0"/>
      <w:marTop w:val="0"/>
      <w:marBottom w:val="0"/>
      <w:divBdr>
        <w:top w:val="none" w:sz="0" w:space="0" w:color="auto"/>
        <w:left w:val="none" w:sz="0" w:space="0" w:color="auto"/>
        <w:bottom w:val="none" w:sz="0" w:space="0" w:color="auto"/>
        <w:right w:val="none" w:sz="0" w:space="0" w:color="auto"/>
      </w:divBdr>
    </w:div>
    <w:div w:id="112481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4B696-6A2A-4B37-BDE5-61BF29B3C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13</Pages>
  <Words>3204</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K41.QLTN.MT Le Vu Hoang Trang</cp:lastModifiedBy>
  <cp:revision>138</cp:revision>
  <dcterms:created xsi:type="dcterms:W3CDTF">2025-06-23T01:14:00Z</dcterms:created>
  <dcterms:modified xsi:type="dcterms:W3CDTF">2025-08-11T09:26:00Z</dcterms:modified>
</cp:coreProperties>
</file>